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景德镇物流中心二期建设项目初勘</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景德镇市国信物流仓储有限公司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 xml:space="preserve"> 2</w:t>
      </w:r>
      <w:r>
        <w:rPr>
          <w:rFonts w:hint="eastAsia" w:ascii="宋体-方正超大字符集" w:hAnsi="STKaiti" w:eastAsia="宋体-方正超大字符集"/>
          <w:sz w:val="32"/>
          <w:szCs w:val="32"/>
        </w:rPr>
        <w:t>月</w:t>
      </w:r>
    </w:p>
    <w:p w14:paraId="743F2D0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景德镇物流中心二期建设项目初勘</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D249425">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b/>
          <w:sz w:val="24"/>
          <w:szCs w:val="24"/>
          <w:u w:val="single"/>
          <w:lang w:eastAsia="zh-CN"/>
        </w:rPr>
        <w:t>景德镇市昌南新区洪源镇洪源村金坑路</w:t>
      </w:r>
      <w:r>
        <w:rPr>
          <w:rFonts w:hint="eastAsia" w:ascii="宋体" w:hAnsi="宋体"/>
          <w:sz w:val="24"/>
          <w:szCs w:val="24"/>
        </w:rPr>
        <w:t>；</w:t>
      </w:r>
    </w:p>
    <w:p w14:paraId="2DCAAC6F">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14:paraId="39E62CE3">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p>
    <w:p w14:paraId="54D5775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4E11A193">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176E955B">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2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24 </w:t>
      </w:r>
      <w:r>
        <w:rPr>
          <w:rFonts w:hint="eastAsia" w:ascii="宋体" w:hAnsi="宋体"/>
          <w:sz w:val="24"/>
          <w:szCs w:val="24"/>
          <w:highlight w:val="none"/>
        </w:rPr>
        <w:t>日—</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2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26 </w:t>
      </w:r>
      <w:r>
        <w:rPr>
          <w:rFonts w:hint="eastAsia" w:ascii="宋体" w:hAnsi="宋体"/>
          <w:sz w:val="24"/>
          <w:szCs w:val="24"/>
          <w:highlight w:val="none"/>
        </w:rPr>
        <w:t>日，8：00—11：00， 14：00—17：00。</w:t>
      </w:r>
      <w:r>
        <w:rPr>
          <w:rFonts w:hint="eastAsia" w:ascii="宋体" w:hAnsi="宋体" w:eastAsia="宋体" w:cs="宋体"/>
          <w:i w:val="0"/>
          <w:iCs w:val="0"/>
          <w:caps w:val="0"/>
          <w:color w:val="212529"/>
          <w:spacing w:val="0"/>
          <w:sz w:val="24"/>
          <w:szCs w:val="24"/>
          <w:shd w:val="clear" w:color="auto" w:fill="FFFFFF"/>
          <w:lang w:eastAsia="zh-CN"/>
        </w:rPr>
        <w:t>投标截止</w:t>
      </w:r>
      <w:r>
        <w:rPr>
          <w:rFonts w:hint="eastAsia" w:ascii="宋体" w:hAnsi="宋体" w:eastAsia="宋体" w:cs="宋体"/>
          <w:i w:val="0"/>
          <w:iCs w:val="0"/>
          <w:caps w:val="0"/>
          <w:color w:val="212529"/>
          <w:spacing w:val="0"/>
          <w:sz w:val="24"/>
          <w:szCs w:val="24"/>
          <w:shd w:val="clear" w:color="auto" w:fill="FFFFFF"/>
        </w:rPr>
        <w:t>时间</w:t>
      </w:r>
      <w:r>
        <w:rPr>
          <w:rFonts w:hint="eastAsia" w:ascii="宋体" w:hAnsi="宋体"/>
          <w:sz w:val="24"/>
          <w:szCs w:val="24"/>
          <w:highlight w:val="none"/>
        </w:rPr>
        <w:t>：</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lang w:val="en-US" w:eastAsia="zh-CN"/>
        </w:rPr>
        <w:t xml:space="preserve"> 3</w:t>
      </w:r>
      <w:r>
        <w:rPr>
          <w:rFonts w:hint="eastAsia" w:ascii="宋体" w:hAnsi="宋体"/>
          <w:sz w:val="24"/>
          <w:szCs w:val="24"/>
          <w:highlight w:val="none"/>
        </w:rPr>
        <w:t>月</w:t>
      </w:r>
      <w:r>
        <w:rPr>
          <w:rFonts w:hint="eastAsia" w:ascii="宋体" w:hAnsi="宋体"/>
          <w:sz w:val="24"/>
          <w:szCs w:val="24"/>
          <w:highlight w:val="none"/>
          <w:lang w:val="en-US" w:eastAsia="zh-CN"/>
        </w:rPr>
        <w:t xml:space="preserve"> 3</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：00。</w:t>
      </w:r>
    </w:p>
    <w:p w14:paraId="4883C8D6">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14:paraId="7D64FF2E">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bookmarkStart w:id="8" w:name="_GoBack"/>
      <w:bookmarkEnd w:id="8"/>
    </w:p>
    <w:p w14:paraId="12502AA9">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43F801BA">
      <w:pPr>
        <w:spacing w:line="400" w:lineRule="exact"/>
        <w:ind w:firstLine="360" w:firstLineChars="150"/>
        <w:jc w:val="left"/>
        <w:rPr>
          <w:rFonts w:ascii="宋体" w:hAnsi="宋体"/>
          <w:sz w:val="24"/>
          <w:szCs w:val="24"/>
          <w:u w:val="single"/>
        </w:rPr>
      </w:pPr>
    </w:p>
    <w:p w14:paraId="00DE2D93">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 xml:space="preserve"> 2</w:t>
      </w:r>
      <w:r>
        <w:rPr>
          <w:rFonts w:hint="eastAsia" w:ascii="宋体" w:hAnsi="宋体"/>
          <w:sz w:val="24"/>
          <w:szCs w:val="24"/>
        </w:rPr>
        <w:t>月</w:t>
      </w:r>
      <w:r>
        <w:rPr>
          <w:rFonts w:hint="eastAsia" w:ascii="宋体" w:hAnsi="宋体"/>
          <w:sz w:val="24"/>
          <w:szCs w:val="24"/>
          <w:lang w:val="en-US" w:eastAsia="zh-CN"/>
        </w:rPr>
        <w:t xml:space="preserve"> 24</w:t>
      </w:r>
      <w:r>
        <w:rPr>
          <w:rFonts w:hint="eastAsia" w:ascii="宋体" w:hAnsi="宋体"/>
          <w:sz w:val="24"/>
          <w:szCs w:val="24"/>
        </w:rPr>
        <w:t xml:space="preserve">日       </w:t>
      </w:r>
    </w:p>
    <w:p w14:paraId="4AAB3332">
      <w:pPr>
        <w:spacing w:line="400" w:lineRule="exact"/>
        <w:rPr>
          <w:rFonts w:ascii="宋体" w:hAnsi="宋体"/>
          <w:sz w:val="24"/>
          <w:szCs w:val="24"/>
        </w:rPr>
      </w:pPr>
    </w:p>
    <w:p w14:paraId="76420B07">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景德镇物流中心二期建设项目初勘</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p>
          <w:p w14:paraId="2003148C">
            <w:pPr>
              <w:pStyle w:val="49"/>
              <w:spacing w:line="360" w:lineRule="auto"/>
            </w:pPr>
            <w:r>
              <w:drawing>
                <wp:inline distT="0" distB="0" distL="114300" distR="114300">
                  <wp:extent cx="5153025" cy="657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53025" cy="657225"/>
                          </a:xfrm>
                          <a:prstGeom prst="rect">
                            <a:avLst/>
                          </a:prstGeom>
                          <a:noFill/>
                          <a:ln>
                            <a:noFill/>
                          </a:ln>
                        </pic:spPr>
                      </pic:pic>
                    </a:graphicData>
                  </a:graphic>
                </wp:inline>
              </w:drawing>
            </w:r>
          </w:p>
          <w:p w14:paraId="0BCFE102">
            <w:pPr>
              <w:pStyle w:val="49"/>
              <w:spacing w:line="360" w:lineRule="auto"/>
            </w:pPr>
            <w:r>
              <w:drawing>
                <wp:inline distT="0" distB="0" distL="114300" distR="114300">
                  <wp:extent cx="3238500" cy="12192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3238500" cy="1219200"/>
                          </a:xfrm>
                          <a:prstGeom prst="rect">
                            <a:avLst/>
                          </a:prstGeom>
                          <a:noFill/>
                          <a:ln>
                            <a:noFill/>
                          </a:ln>
                        </pic:spPr>
                      </pic:pic>
                    </a:graphicData>
                  </a:graphic>
                </wp:inline>
              </w:drawing>
            </w:r>
          </w:p>
          <w:p w14:paraId="4C1104D5">
            <w:pPr>
              <w:widowControl/>
              <w:jc w:val="left"/>
              <w:rPr>
                <w:rFonts w:hint="default" w:ascii="宋体" w:hAnsi="宋体"/>
                <w:sz w:val="24"/>
                <w:szCs w:val="24"/>
                <w:lang w:val="en-US" w:eastAsia="zh-CN"/>
              </w:rPr>
            </w:pP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77A708D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2ED765B"/>
    <w:rsid w:val="081E79F8"/>
    <w:rsid w:val="085F679A"/>
    <w:rsid w:val="0914518E"/>
    <w:rsid w:val="0C2D3516"/>
    <w:rsid w:val="0D874D64"/>
    <w:rsid w:val="139601CD"/>
    <w:rsid w:val="163313D0"/>
    <w:rsid w:val="19FE1B00"/>
    <w:rsid w:val="1B153482"/>
    <w:rsid w:val="1CFA78C7"/>
    <w:rsid w:val="1D355134"/>
    <w:rsid w:val="2538122F"/>
    <w:rsid w:val="26524173"/>
    <w:rsid w:val="276B4547"/>
    <w:rsid w:val="28022A74"/>
    <w:rsid w:val="2A174676"/>
    <w:rsid w:val="2CBC1DC3"/>
    <w:rsid w:val="2E9C05B3"/>
    <w:rsid w:val="2F5E4E35"/>
    <w:rsid w:val="2F7B180E"/>
    <w:rsid w:val="2FEC3129"/>
    <w:rsid w:val="30C64EDF"/>
    <w:rsid w:val="31422505"/>
    <w:rsid w:val="32270DB0"/>
    <w:rsid w:val="327A56DF"/>
    <w:rsid w:val="333F2992"/>
    <w:rsid w:val="346F7832"/>
    <w:rsid w:val="3B8C2631"/>
    <w:rsid w:val="3CC3270A"/>
    <w:rsid w:val="3D905866"/>
    <w:rsid w:val="3DC72016"/>
    <w:rsid w:val="40515B46"/>
    <w:rsid w:val="41A46DE7"/>
    <w:rsid w:val="44575FB2"/>
    <w:rsid w:val="474C7B15"/>
    <w:rsid w:val="47EF0ED9"/>
    <w:rsid w:val="4974479D"/>
    <w:rsid w:val="4B340EC0"/>
    <w:rsid w:val="4BFF2C2B"/>
    <w:rsid w:val="4C2608F4"/>
    <w:rsid w:val="4C7C4CE8"/>
    <w:rsid w:val="4CE63D97"/>
    <w:rsid w:val="4E03024D"/>
    <w:rsid w:val="51F40CBB"/>
    <w:rsid w:val="52DA0035"/>
    <w:rsid w:val="53DF3D9B"/>
    <w:rsid w:val="59DC694C"/>
    <w:rsid w:val="5C2D1277"/>
    <w:rsid w:val="5D2D429B"/>
    <w:rsid w:val="603241CD"/>
    <w:rsid w:val="6049287C"/>
    <w:rsid w:val="65071E3A"/>
    <w:rsid w:val="66EA3071"/>
    <w:rsid w:val="66FF2716"/>
    <w:rsid w:val="698A0647"/>
    <w:rsid w:val="6A387350"/>
    <w:rsid w:val="6F3A2D14"/>
    <w:rsid w:val="6FF87C8B"/>
    <w:rsid w:val="71D2481F"/>
    <w:rsid w:val="735C2543"/>
    <w:rsid w:val="74190561"/>
    <w:rsid w:val="78CE4886"/>
    <w:rsid w:val="7B9E5727"/>
    <w:rsid w:val="7CE5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4792</Words>
  <Characters>4858</Characters>
  <Lines>42</Lines>
  <Paragraphs>12</Paragraphs>
  <TotalTime>9</TotalTime>
  <ScaleCrop>false</ScaleCrop>
  <LinksUpToDate>false</LinksUpToDate>
  <CharactersWithSpaces>5407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2025-02-13T08:46:00Z</cp:lastPrinted>
  <dcterms:modified xsi:type="dcterms:W3CDTF">2025-11-11T01:59:55Z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8347AD1B131C4C5582659294C7DE2F58_13</vt:lpwstr>
  </property>
  <property fmtid="{D5CDD505-2E9C-101B-9397-08002B2CF9AE}" pid="4" name="KSOTemplateDocerSaveRecord">
    <vt:lpwstr>eyJoZGlkIjoiYTM1NmE0NjI0NzUyNGFlY2I1NWZiMDYwMDQzZDIyNmUiLCJ1c2VySWQiOiIyMzE5NzM1MTEifQ==</vt:lpwstr>
  </property>
</Properties>
</file>