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970A4D">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14:paraId="6D28D63D">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14:paraId="207D5D0F">
      <w:pPr>
        <w:spacing w:line="500" w:lineRule="exact"/>
        <w:rPr>
          <w:rFonts w:ascii="STHupo" w:hAnsi="华文细黑" w:eastAsia="STHupo"/>
          <w:sz w:val="36"/>
          <w:szCs w:val="36"/>
        </w:rPr>
      </w:pPr>
    </w:p>
    <w:p w14:paraId="5B08FA04">
      <w:pPr>
        <w:spacing w:line="500" w:lineRule="exact"/>
        <w:jc w:val="center"/>
        <w:rPr>
          <w:b/>
          <w:bCs/>
          <w:sz w:val="48"/>
          <w:szCs w:val="48"/>
        </w:rPr>
      </w:pPr>
    </w:p>
    <w:p w14:paraId="6D1225FD">
      <w:pPr>
        <w:spacing w:line="500" w:lineRule="exact"/>
        <w:jc w:val="center"/>
        <w:rPr>
          <w:rFonts w:ascii="楷体_GB2312" w:hAnsi="新宋体" w:eastAsia="楷体_GB2312"/>
          <w:b/>
          <w:bCs/>
          <w:sz w:val="52"/>
          <w:szCs w:val="52"/>
        </w:rPr>
      </w:pPr>
    </w:p>
    <w:p w14:paraId="5C442212">
      <w:pPr>
        <w:spacing w:line="500" w:lineRule="exact"/>
        <w:jc w:val="both"/>
        <w:rPr>
          <w:rFonts w:ascii="楷体_GB2312" w:hAnsi="新宋体" w:eastAsia="楷体_GB2312"/>
          <w:b/>
          <w:bCs/>
          <w:sz w:val="52"/>
          <w:szCs w:val="52"/>
        </w:rPr>
      </w:pPr>
    </w:p>
    <w:p w14:paraId="51E05EBB">
      <w:pPr>
        <w:spacing w:line="500" w:lineRule="exact"/>
        <w:jc w:val="center"/>
        <w:rPr>
          <w:rFonts w:ascii="楷体_GB2312" w:hAnsi="新宋体" w:eastAsia="楷体_GB2312"/>
          <w:b/>
          <w:bCs/>
          <w:sz w:val="52"/>
          <w:szCs w:val="52"/>
        </w:rPr>
      </w:pPr>
    </w:p>
    <w:p w14:paraId="755CB9A6">
      <w:pPr>
        <w:spacing w:line="500" w:lineRule="exact"/>
        <w:jc w:val="center"/>
        <w:rPr>
          <w:rFonts w:ascii="楷体_GB2312" w:hAnsi="新宋体" w:eastAsia="楷体_GB2312"/>
          <w:b/>
          <w:bCs/>
          <w:sz w:val="52"/>
          <w:szCs w:val="52"/>
        </w:rPr>
      </w:pPr>
    </w:p>
    <w:p w14:paraId="74704AFD">
      <w:pPr>
        <w:spacing w:line="500" w:lineRule="exact"/>
        <w:jc w:val="center"/>
        <w:rPr>
          <w:rFonts w:ascii="楷体_GB2312" w:hAnsi="新宋体" w:eastAsia="楷体_GB2312"/>
          <w:b/>
          <w:bCs/>
          <w:sz w:val="52"/>
          <w:szCs w:val="52"/>
        </w:rPr>
      </w:pPr>
    </w:p>
    <w:p w14:paraId="19859FB2">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14:paraId="40C3E1F4">
      <w:pPr>
        <w:spacing w:line="500" w:lineRule="exact"/>
        <w:rPr>
          <w:sz w:val="32"/>
        </w:rPr>
      </w:pPr>
    </w:p>
    <w:p w14:paraId="6847D2D1">
      <w:pPr>
        <w:spacing w:line="500" w:lineRule="exact"/>
        <w:rPr>
          <w:sz w:val="32"/>
        </w:rPr>
      </w:pPr>
    </w:p>
    <w:p w14:paraId="6F656BE1">
      <w:pPr>
        <w:spacing w:line="500" w:lineRule="exact"/>
        <w:rPr>
          <w:sz w:val="32"/>
        </w:rPr>
      </w:pPr>
    </w:p>
    <w:p w14:paraId="2BD02298">
      <w:pPr>
        <w:spacing w:line="500" w:lineRule="exact"/>
        <w:rPr>
          <w:sz w:val="32"/>
        </w:rPr>
      </w:pPr>
    </w:p>
    <w:p w14:paraId="0A6286E5">
      <w:pPr>
        <w:spacing w:line="500" w:lineRule="exact"/>
        <w:rPr>
          <w:sz w:val="32"/>
        </w:rPr>
      </w:pPr>
    </w:p>
    <w:p w14:paraId="16A661ED">
      <w:pPr>
        <w:spacing w:line="660" w:lineRule="exact"/>
        <w:rPr>
          <w:sz w:val="32"/>
        </w:rPr>
      </w:pPr>
    </w:p>
    <w:p w14:paraId="538762FD">
      <w:pPr>
        <w:autoSpaceDE w:val="0"/>
        <w:autoSpaceDN w:val="0"/>
        <w:adjustRightInd w:val="0"/>
        <w:spacing w:line="660" w:lineRule="exact"/>
        <w:ind w:left="2458" w:leftChars="456" w:right="105" w:rightChars="50" w:hanging="1500" w:hangingChars="500"/>
        <w:rPr>
          <w:rFonts w:ascii="宋体-方正超大字符集" w:hAnsi="STKaiti" w:eastAsia="宋体-方正超大字符集"/>
          <w:sz w:val="30"/>
          <w:szCs w:val="30"/>
          <w:u w:val="single"/>
        </w:rPr>
      </w:pPr>
      <w:r>
        <w:rPr>
          <w:rFonts w:hint="eastAsia" w:ascii="宋体-方正超大字符集" w:hAnsi="STKaiti" w:eastAsia="宋体-方正超大字符集"/>
          <w:sz w:val="30"/>
          <w:szCs w:val="30"/>
        </w:rPr>
        <w:t>项目名称：</w:t>
      </w:r>
      <w:r>
        <w:rPr>
          <w:rFonts w:hint="eastAsia" w:ascii="宋体-方正超大字符集" w:hAnsi="STKaiti" w:eastAsia="宋体-方正超大字符集"/>
          <w:sz w:val="30"/>
          <w:szCs w:val="30"/>
          <w:u w:val="single"/>
          <w:lang w:eastAsia="zh-CN"/>
        </w:rPr>
        <w:t>景德镇国控喜盈门建材家具广场建设项目室内环境检测</w:t>
      </w:r>
    </w:p>
    <w:p w14:paraId="7ABA6996">
      <w:pPr>
        <w:spacing w:line="660" w:lineRule="exact"/>
        <w:ind w:firstLine="900" w:firstLineChars="300"/>
        <w:rPr>
          <w:rFonts w:ascii="STKaiti" w:hAnsi="STKaiti" w:eastAsia="STKaiti"/>
          <w:sz w:val="30"/>
          <w:szCs w:val="30"/>
          <w:u w:val="single"/>
        </w:rPr>
      </w:pPr>
      <w:r>
        <w:rPr>
          <w:rFonts w:hint="eastAsia" w:ascii="STKaiti" w:hAnsi="STKaiti" w:eastAsia="STKaiti"/>
          <w:sz w:val="30"/>
          <w:szCs w:val="30"/>
        </w:rPr>
        <w:t>招 标 人：</w:t>
      </w:r>
      <w:r>
        <w:rPr>
          <w:rFonts w:hint="eastAsia" w:ascii="宋体-方正超大字符集" w:hAnsi="STKaiti" w:eastAsia="宋体-方正超大字符集"/>
          <w:sz w:val="30"/>
          <w:szCs w:val="30"/>
          <w:u w:val="single"/>
          <w:lang w:eastAsia="zh-CN"/>
        </w:rPr>
        <w:t>景德镇市国信物流仓储有限公司</w:t>
      </w:r>
      <w:r>
        <w:rPr>
          <w:rFonts w:hint="eastAsia" w:ascii="宋体-方正超大字符集" w:hAnsi="STKaiti" w:eastAsia="宋体-方正超大字符集"/>
          <w:sz w:val="30"/>
          <w:szCs w:val="30"/>
          <w:u w:val="single"/>
        </w:rPr>
        <w:t xml:space="preserve"> </w:t>
      </w:r>
      <w:r>
        <w:rPr>
          <w:sz w:val="30"/>
          <w:szCs w:val="30"/>
          <w:u w:val="single"/>
        </w:rPr>
        <w:t xml:space="preserve">  </w:t>
      </w:r>
      <w:r>
        <w:rPr>
          <w:rFonts w:hint="eastAsia" w:ascii="STKaiti" w:hAnsi="STKaiti" w:eastAsia="STKaiti"/>
          <w:sz w:val="30"/>
          <w:szCs w:val="30"/>
          <w:u w:val="single"/>
        </w:rPr>
        <w:t xml:space="preserve">      </w:t>
      </w:r>
    </w:p>
    <w:p w14:paraId="08630107">
      <w:pPr>
        <w:autoSpaceDE w:val="0"/>
        <w:autoSpaceDN w:val="0"/>
        <w:adjustRightInd w:val="0"/>
        <w:spacing w:line="660" w:lineRule="exact"/>
        <w:ind w:right="105" w:rightChars="50" w:firstLine="900" w:firstLineChars="300"/>
        <w:rPr>
          <w:rFonts w:ascii="宋体-方正超大字符集" w:hAnsi="STKaiti" w:eastAsia="宋体-方正超大字符集"/>
          <w:sz w:val="30"/>
          <w:szCs w:val="30"/>
        </w:rPr>
      </w:pPr>
      <w:r>
        <w:rPr>
          <w:rFonts w:hint="eastAsia" w:ascii="宋体-方正超大字符集" w:hAnsi="STKaiti" w:eastAsia="宋体-方正超大字符集"/>
          <w:sz w:val="30"/>
          <w:szCs w:val="30"/>
        </w:rPr>
        <w:t>项目联系人：</w:t>
      </w:r>
      <w:r>
        <w:rPr>
          <w:rFonts w:hint="eastAsia" w:ascii="宋体-方正超大字符集" w:hAnsi="STKaiti" w:eastAsia="宋体-方正超大字符集"/>
          <w:sz w:val="30"/>
          <w:szCs w:val="30"/>
          <w:u w:val="single"/>
        </w:rPr>
        <w:t xml:space="preserve">         胡  先  生                 </w:t>
      </w:r>
      <w:r>
        <w:rPr>
          <w:rFonts w:hint="eastAsia" w:ascii="宋体-方正超大字符集" w:hAnsi="STKaiti" w:eastAsia="宋体-方正超大字符集"/>
          <w:sz w:val="30"/>
          <w:szCs w:val="30"/>
        </w:rPr>
        <w:t xml:space="preserve">       </w:t>
      </w:r>
    </w:p>
    <w:p w14:paraId="3BD7AEB9">
      <w:pPr>
        <w:autoSpaceDE w:val="0"/>
        <w:autoSpaceDN w:val="0"/>
        <w:adjustRightInd w:val="0"/>
        <w:spacing w:line="660" w:lineRule="exact"/>
        <w:ind w:right="105" w:rightChars="50" w:firstLine="900" w:firstLineChars="300"/>
        <w:rPr>
          <w:rFonts w:ascii="宋体-方正超大字符集" w:hAnsi="STKaiti" w:eastAsia="宋体-方正超大字符集"/>
          <w:sz w:val="32"/>
          <w:szCs w:val="32"/>
        </w:rPr>
      </w:pPr>
      <w:r>
        <w:rPr>
          <w:rFonts w:hint="eastAsia" w:ascii="宋体-方正超大字符集" w:hAnsi="STKaiti" w:eastAsia="宋体-方正超大字符集"/>
          <w:sz w:val="30"/>
          <w:szCs w:val="30"/>
        </w:rPr>
        <w:t>联系电话：</w:t>
      </w:r>
      <w:r>
        <w:rPr>
          <w:rFonts w:hint="eastAsia" w:ascii="宋体-方正超大字符集" w:hAnsi="STKaiti" w:eastAsia="宋体-方正超大字符集"/>
          <w:sz w:val="30"/>
          <w:szCs w:val="30"/>
          <w:u w:val="single"/>
        </w:rPr>
        <w:t xml:space="preserve">        18507986697                     </w:t>
      </w:r>
      <w:r>
        <w:rPr>
          <w:rFonts w:hint="eastAsia" w:ascii="宋体-方正超大字符集" w:hAnsi="STKaiti" w:eastAsia="宋体-方正超大字符集"/>
          <w:sz w:val="30"/>
          <w:szCs w:val="30"/>
        </w:rPr>
        <w:t xml:space="preserve"> </w:t>
      </w:r>
      <w:r>
        <w:rPr>
          <w:rFonts w:hint="eastAsia" w:ascii="宋体-方正超大字符集" w:hAnsi="STKaiti" w:eastAsia="宋体-方正超大字符集"/>
          <w:sz w:val="32"/>
          <w:szCs w:val="32"/>
        </w:rPr>
        <w:t xml:space="preserve">  </w:t>
      </w:r>
    </w:p>
    <w:p w14:paraId="499797D9">
      <w:pPr>
        <w:spacing w:line="500" w:lineRule="exact"/>
        <w:rPr>
          <w:rFonts w:ascii="STKaiti" w:hAnsi="STKaiti" w:eastAsia="STKaiti"/>
          <w:sz w:val="36"/>
          <w:szCs w:val="36"/>
        </w:rPr>
      </w:pPr>
    </w:p>
    <w:p w14:paraId="44361312">
      <w:pPr>
        <w:spacing w:line="500" w:lineRule="exact"/>
        <w:jc w:val="center"/>
        <w:rPr>
          <w:rFonts w:ascii="STKaiti" w:hAnsi="STKaiti" w:eastAsia="STKaiti"/>
          <w:sz w:val="36"/>
          <w:szCs w:val="36"/>
        </w:rPr>
      </w:pPr>
    </w:p>
    <w:p w14:paraId="16A8F243">
      <w:pPr>
        <w:pStyle w:val="21"/>
        <w:jc w:val="center"/>
        <w:rPr>
          <w:rFonts w:hint="eastAsia" w:ascii="宋体-方正超大字符集" w:hAnsi="STKaiti" w:eastAsia="宋体-方正超大字符集"/>
          <w:sz w:val="32"/>
          <w:szCs w:val="32"/>
          <w:lang w:eastAsia="zh-CN"/>
        </w:rPr>
      </w:pPr>
      <w:r>
        <w:rPr>
          <w:rFonts w:hint="eastAsia" w:ascii="宋体-方正超大字符集" w:hAnsi="STKaiti" w:eastAsia="宋体-方正超大字符集"/>
          <w:sz w:val="32"/>
          <w:szCs w:val="32"/>
          <w:lang w:eastAsia="zh-CN"/>
        </w:rPr>
        <w:t>景德镇市国信物流仓储有限公司</w:t>
      </w:r>
    </w:p>
    <w:p w14:paraId="79264B57">
      <w:pPr>
        <w:pStyle w:val="21"/>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w:t>
      </w:r>
      <w:r>
        <w:rPr>
          <w:rFonts w:hint="eastAsia" w:ascii="宋体-方正超大字符集" w:hAnsi="STKaiti" w:eastAsia="宋体-方正超大字符集"/>
          <w:sz w:val="32"/>
          <w:szCs w:val="32"/>
          <w:lang w:eastAsia="zh-CN"/>
        </w:rPr>
        <w:t>2024</w:t>
      </w:r>
      <w:r>
        <w:rPr>
          <w:rFonts w:hint="eastAsia" w:ascii="宋体-方正超大字符集" w:hAnsi="STKaiti" w:eastAsia="宋体-方正超大字符集"/>
          <w:sz w:val="32"/>
          <w:szCs w:val="32"/>
        </w:rPr>
        <w:t xml:space="preserve"> 年</w:t>
      </w:r>
      <w:r>
        <w:rPr>
          <w:rFonts w:hint="eastAsia" w:ascii="宋体-方正超大字符集" w:hAnsi="STKaiti" w:eastAsia="宋体-方正超大字符集"/>
          <w:sz w:val="32"/>
          <w:szCs w:val="32"/>
          <w:lang w:val="en-US" w:eastAsia="zh-CN"/>
        </w:rPr>
        <w:t>9</w:t>
      </w:r>
      <w:r>
        <w:rPr>
          <w:rFonts w:hint="eastAsia" w:ascii="宋体-方正超大字符集" w:hAnsi="STKaiti" w:eastAsia="宋体-方正超大字符集"/>
          <w:sz w:val="32"/>
          <w:szCs w:val="32"/>
        </w:rPr>
        <w:t>月</w:t>
      </w:r>
    </w:p>
    <w:p w14:paraId="738327E4">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14:paraId="0ABB8A01">
      <w:pPr>
        <w:jc w:val="center"/>
        <w:rPr>
          <w:rFonts w:ascii="宋体" w:hAnsi="宋体"/>
          <w:b/>
          <w:sz w:val="44"/>
          <w:szCs w:val="44"/>
        </w:rPr>
      </w:pPr>
      <w:r>
        <w:rPr>
          <w:rFonts w:hint="eastAsia" w:ascii="宋体" w:hAnsi="宋体"/>
          <w:b/>
          <w:sz w:val="44"/>
          <w:szCs w:val="44"/>
        </w:rPr>
        <w:t>第一部分  委托招标公告</w:t>
      </w:r>
      <w:bookmarkEnd w:id="0"/>
    </w:p>
    <w:p w14:paraId="7AFECD3C">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景德镇市国信物流仓储有限公司</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景德镇国控喜盈门建材家具广场建设项目室内环境检测</w:t>
      </w:r>
      <w:r>
        <w:rPr>
          <w:rFonts w:hint="eastAsia" w:ascii="宋体" w:hAnsi="宋体"/>
          <w:b/>
          <w:sz w:val="24"/>
          <w:szCs w:val="24"/>
        </w:rPr>
        <w:t>（项目名称）</w:t>
      </w:r>
      <w:r>
        <w:rPr>
          <w:rFonts w:hint="eastAsia" w:ascii="宋体" w:hAnsi="宋体"/>
          <w:sz w:val="24"/>
          <w:szCs w:val="24"/>
        </w:rPr>
        <w:t>组织委托招标，现将相关事项公告如下：</w:t>
      </w:r>
    </w:p>
    <w:p w14:paraId="4892345A">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景德镇国控喜盈门建材家具广场建设项目室内环境检测</w:t>
      </w:r>
      <w:r>
        <w:rPr>
          <w:rFonts w:hint="eastAsia" w:ascii="宋体" w:hAnsi="宋体"/>
          <w:b/>
          <w:sz w:val="24"/>
          <w:szCs w:val="24"/>
          <w:u w:val="single"/>
        </w:rPr>
        <w:t xml:space="preserve"> </w:t>
      </w:r>
      <w:r>
        <w:rPr>
          <w:rFonts w:hint="eastAsia" w:ascii="宋体" w:hAnsi="宋体"/>
          <w:sz w:val="24"/>
          <w:szCs w:val="24"/>
        </w:rPr>
        <w:t xml:space="preserve"> </w:t>
      </w:r>
    </w:p>
    <w:p w14:paraId="68F9EAD2">
      <w:pPr>
        <w:spacing w:line="400" w:lineRule="exact"/>
        <w:jc w:val="left"/>
        <w:rPr>
          <w:rFonts w:ascii="宋体" w:hAnsi="宋体"/>
          <w:b/>
          <w:sz w:val="24"/>
          <w:szCs w:val="24"/>
        </w:rPr>
      </w:pPr>
      <w:r>
        <w:rPr>
          <w:rFonts w:hint="eastAsia" w:ascii="宋体" w:hAnsi="宋体"/>
          <w:b/>
          <w:sz w:val="24"/>
          <w:szCs w:val="24"/>
        </w:rPr>
        <w:t>二、项目概况：</w:t>
      </w:r>
    </w:p>
    <w:p w14:paraId="4E26E417">
      <w:pPr>
        <w:spacing w:line="400" w:lineRule="exact"/>
        <w:ind w:firstLine="480" w:firstLineChars="200"/>
        <w:jc w:val="left"/>
        <w:rPr>
          <w:rFonts w:hint="eastAsia" w:ascii="宋体" w:hAnsi="宋体"/>
          <w:sz w:val="24"/>
          <w:szCs w:val="24"/>
          <w:highlight w:val="none"/>
        </w:rPr>
      </w:pPr>
      <w:r>
        <w:rPr>
          <w:rFonts w:hint="eastAsia" w:ascii="宋体" w:hAnsi="宋体"/>
          <w:sz w:val="24"/>
          <w:szCs w:val="24"/>
          <w:highlight w:val="none"/>
          <w:lang w:eastAsia="zh-CN"/>
        </w:rPr>
        <w:t>控制价</w:t>
      </w:r>
      <w:r>
        <w:rPr>
          <w:rFonts w:hint="eastAsia" w:ascii="宋体" w:hAnsi="宋体"/>
          <w:sz w:val="24"/>
          <w:szCs w:val="24"/>
          <w:highlight w:val="none"/>
        </w:rPr>
        <w:t>：</w:t>
      </w:r>
      <w:r>
        <w:rPr>
          <w:rFonts w:hint="eastAsia" w:ascii="宋体" w:hAnsi="宋体"/>
          <w:sz w:val="24"/>
          <w:szCs w:val="24"/>
          <w:highlight w:val="none"/>
          <w:lang w:val="en-US" w:eastAsia="zh-CN"/>
        </w:rPr>
        <w:t>39600元</w:t>
      </w:r>
      <w:r>
        <w:rPr>
          <w:rFonts w:hint="eastAsia" w:ascii="宋体" w:hAnsi="宋体"/>
          <w:sz w:val="24"/>
          <w:szCs w:val="24"/>
          <w:highlight w:val="none"/>
        </w:rPr>
        <w:t>；</w:t>
      </w:r>
    </w:p>
    <w:p w14:paraId="23F3ED0A">
      <w:pPr>
        <w:spacing w:line="400" w:lineRule="exact"/>
        <w:ind w:firstLine="480" w:firstLineChars="200"/>
        <w:jc w:val="left"/>
        <w:rPr>
          <w:rFonts w:hint="eastAsia" w:ascii="宋体" w:hAnsi="宋体"/>
          <w:sz w:val="24"/>
          <w:szCs w:val="24"/>
          <w:highlight w:val="none"/>
        </w:rPr>
      </w:pPr>
      <w:r>
        <w:rPr>
          <w:rFonts w:hint="eastAsia" w:ascii="宋体" w:hAnsi="宋体"/>
          <w:sz w:val="24"/>
          <w:szCs w:val="24"/>
          <w:highlight w:val="none"/>
          <w:lang w:eastAsia="zh-CN"/>
        </w:rPr>
        <w:t>服务内容：</w:t>
      </w:r>
      <w:r>
        <w:rPr>
          <w:rFonts w:hint="eastAsia" w:ascii="宋体" w:hAnsi="宋体"/>
          <w:sz w:val="24"/>
          <w:szCs w:val="24"/>
          <w:highlight w:val="none"/>
          <w:u w:val="single"/>
          <w:lang w:eastAsia="zh-CN"/>
        </w:rPr>
        <w:t>完成会展中心面积1#馆15450m,2#馆23175m,3#馆建筑面积16407m的室内环境检测，约</w:t>
      </w:r>
      <w:r>
        <w:rPr>
          <w:rFonts w:hint="eastAsia" w:ascii="宋体" w:hAnsi="宋体"/>
          <w:sz w:val="24"/>
          <w:szCs w:val="24"/>
          <w:highlight w:val="none"/>
          <w:u w:val="single"/>
          <w:lang w:val="en-US" w:eastAsia="zh-CN"/>
        </w:rPr>
        <w:t>66个点</w:t>
      </w:r>
      <w:r>
        <w:rPr>
          <w:rFonts w:hint="eastAsia" w:ascii="宋体" w:hAnsi="宋体"/>
          <w:sz w:val="24"/>
          <w:szCs w:val="24"/>
          <w:highlight w:val="none"/>
          <w:lang w:val="en-US" w:eastAsia="zh-CN"/>
        </w:rPr>
        <w:t>；</w:t>
      </w:r>
    </w:p>
    <w:p w14:paraId="6024567A">
      <w:pPr>
        <w:spacing w:line="400" w:lineRule="exact"/>
        <w:ind w:firstLine="480" w:firstLineChars="200"/>
        <w:jc w:val="left"/>
        <w:rPr>
          <w:rFonts w:hint="eastAsia" w:ascii="宋体" w:hAnsi="宋体"/>
          <w:sz w:val="24"/>
          <w:szCs w:val="24"/>
        </w:rPr>
      </w:pPr>
      <w:r>
        <w:rPr>
          <w:rFonts w:hint="eastAsia" w:ascii="宋体" w:hAnsi="宋体"/>
          <w:sz w:val="24"/>
          <w:szCs w:val="24"/>
          <w:lang w:eastAsia="zh-CN"/>
        </w:rPr>
        <w:t>服务工</w:t>
      </w:r>
      <w:r>
        <w:rPr>
          <w:rFonts w:hint="eastAsia" w:ascii="宋体" w:hAnsi="宋体"/>
          <w:sz w:val="24"/>
          <w:szCs w:val="24"/>
        </w:rPr>
        <w:t>期：</w:t>
      </w:r>
      <w:r>
        <w:rPr>
          <w:rFonts w:hint="eastAsia" w:ascii="宋体" w:hAnsi="宋体"/>
          <w:sz w:val="24"/>
          <w:szCs w:val="24"/>
          <w:u w:val="single"/>
          <w:lang w:val="en-US" w:eastAsia="zh-CN"/>
        </w:rPr>
        <w:t>30天</w:t>
      </w:r>
      <w:r>
        <w:rPr>
          <w:rFonts w:hint="eastAsia" w:ascii="宋体" w:hAnsi="宋体"/>
          <w:sz w:val="24"/>
          <w:szCs w:val="24"/>
          <w:u w:val="single"/>
        </w:rPr>
        <w:t xml:space="preserve"> </w:t>
      </w:r>
      <w:r>
        <w:rPr>
          <w:rFonts w:hint="eastAsia" w:ascii="宋体" w:hAnsi="宋体"/>
          <w:sz w:val="24"/>
          <w:szCs w:val="24"/>
        </w:rPr>
        <w:t>；</w:t>
      </w:r>
    </w:p>
    <w:p w14:paraId="3C18A18C">
      <w:pPr>
        <w:spacing w:line="400" w:lineRule="exact"/>
        <w:ind w:firstLine="480" w:firstLineChars="200"/>
        <w:jc w:val="left"/>
        <w:rPr>
          <w:rFonts w:hint="eastAsia"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14:paraId="66E4807B">
      <w:pPr>
        <w:spacing w:line="400" w:lineRule="exact"/>
        <w:jc w:val="left"/>
        <w:rPr>
          <w:rFonts w:ascii="宋体" w:hAnsi="宋体"/>
          <w:b/>
          <w:sz w:val="24"/>
          <w:szCs w:val="24"/>
        </w:rPr>
      </w:pPr>
      <w:r>
        <w:rPr>
          <w:rFonts w:hint="eastAsia" w:ascii="宋体" w:hAnsi="宋体"/>
          <w:b/>
          <w:sz w:val="24"/>
          <w:szCs w:val="24"/>
        </w:rPr>
        <w:t>三、竞标单位资格要求</w:t>
      </w:r>
    </w:p>
    <w:p w14:paraId="15E4900F">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r>
        <w:rPr>
          <w:rFonts w:hint="eastAsia" w:ascii="宋体" w:hAnsi="宋体"/>
          <w:b/>
          <w:sz w:val="24"/>
          <w:szCs w:val="24"/>
          <w:u w:val="single"/>
          <w:lang w:val="en-US" w:eastAsia="zh-CN"/>
        </w:rPr>
        <w:t>2、具备室内环境检测的资质</w:t>
      </w:r>
      <w:r>
        <w:rPr>
          <w:rFonts w:hint="eastAsia" w:ascii="宋体" w:hAnsi="宋体"/>
          <w:b/>
          <w:sz w:val="24"/>
          <w:szCs w:val="24"/>
        </w:rPr>
        <w:t>；</w:t>
      </w:r>
    </w:p>
    <w:p w14:paraId="16FB6365">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竞标</w:t>
      </w:r>
      <w:r>
        <w:rPr>
          <w:rFonts w:hint="eastAsia" w:ascii="宋体" w:hAnsi="宋体"/>
          <w:b/>
          <w:sz w:val="24"/>
          <w:szCs w:val="24"/>
        </w:rPr>
        <w:t>时需携带的证件及材料</w:t>
      </w:r>
    </w:p>
    <w:p w14:paraId="34FEE822">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14:paraId="675851F4">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14:paraId="65F42BA9">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14:paraId="2300D69C">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14:paraId="03475960">
      <w:pPr>
        <w:pStyle w:val="17"/>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14:paraId="72088BA7">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2024</w:t>
      </w:r>
      <w:r>
        <w:rPr>
          <w:rFonts w:hint="eastAsia" w:ascii="宋体" w:hAnsi="宋体"/>
          <w:sz w:val="24"/>
          <w:szCs w:val="24"/>
        </w:rPr>
        <w:t>年</w:t>
      </w:r>
      <w:r>
        <w:rPr>
          <w:rFonts w:hint="eastAsia" w:ascii="宋体" w:hAnsi="宋体"/>
          <w:sz w:val="24"/>
          <w:szCs w:val="24"/>
          <w:u w:val="single"/>
          <w:lang w:val="en-US" w:eastAsia="zh-CN"/>
        </w:rPr>
        <w:t>9</w:t>
      </w:r>
      <w:r>
        <w:rPr>
          <w:rFonts w:hint="eastAsia" w:ascii="宋体" w:hAnsi="宋体"/>
          <w:sz w:val="24"/>
          <w:szCs w:val="24"/>
        </w:rPr>
        <w:t>月</w:t>
      </w:r>
      <w:r>
        <w:rPr>
          <w:rFonts w:hint="eastAsia" w:ascii="宋体" w:hAnsi="宋体"/>
          <w:sz w:val="24"/>
          <w:szCs w:val="24"/>
          <w:u w:val="single"/>
          <w:lang w:val="en-US" w:eastAsia="zh-CN"/>
        </w:rPr>
        <w:t>9</w:t>
      </w:r>
      <w:r>
        <w:rPr>
          <w:rFonts w:hint="eastAsia" w:ascii="宋体" w:hAnsi="宋体"/>
          <w:sz w:val="24"/>
          <w:szCs w:val="24"/>
        </w:rPr>
        <w:t>日—</w:t>
      </w:r>
      <w:r>
        <w:rPr>
          <w:rFonts w:hint="eastAsia" w:ascii="宋体" w:hAnsi="宋体"/>
          <w:sz w:val="24"/>
          <w:szCs w:val="24"/>
          <w:lang w:eastAsia="zh-CN"/>
        </w:rPr>
        <w:t>2024</w:t>
      </w:r>
      <w:r>
        <w:rPr>
          <w:rFonts w:hint="eastAsia" w:ascii="宋体" w:hAnsi="宋体"/>
          <w:sz w:val="24"/>
          <w:szCs w:val="24"/>
        </w:rPr>
        <w:t>年</w:t>
      </w:r>
      <w:r>
        <w:rPr>
          <w:rFonts w:hint="eastAsia" w:ascii="宋体" w:hAnsi="宋体"/>
          <w:sz w:val="24"/>
          <w:szCs w:val="24"/>
          <w:u w:val="single"/>
          <w:lang w:val="en-US" w:eastAsia="zh-CN"/>
        </w:rPr>
        <w:t>9</w:t>
      </w:r>
      <w:r>
        <w:rPr>
          <w:rFonts w:hint="eastAsia" w:ascii="宋体" w:hAnsi="宋体"/>
          <w:sz w:val="24"/>
          <w:szCs w:val="24"/>
        </w:rPr>
        <w:t>月</w:t>
      </w:r>
      <w:r>
        <w:rPr>
          <w:rFonts w:hint="eastAsia" w:ascii="宋体" w:hAnsi="宋体"/>
          <w:sz w:val="24"/>
          <w:szCs w:val="24"/>
          <w:u w:val="single"/>
          <w:lang w:val="en-US" w:eastAsia="zh-CN"/>
        </w:rPr>
        <w:t>11</w:t>
      </w:r>
      <w:r>
        <w:rPr>
          <w:rFonts w:hint="eastAsia" w:ascii="宋体" w:hAnsi="宋体"/>
          <w:sz w:val="24"/>
          <w:szCs w:val="24"/>
        </w:rPr>
        <w:t>日，8：00—11：00， 14：00—17：00。</w:t>
      </w:r>
      <w:r>
        <w:rPr>
          <w:rFonts w:hint="eastAsia" w:ascii="宋体" w:hAnsi="宋体"/>
          <w:sz w:val="24"/>
          <w:szCs w:val="24"/>
          <w:lang w:eastAsia="zh-CN"/>
        </w:rPr>
        <w:t>投标截止日期</w:t>
      </w:r>
      <w:r>
        <w:rPr>
          <w:rFonts w:hint="eastAsia" w:ascii="宋体" w:hAnsi="宋体"/>
          <w:sz w:val="24"/>
          <w:szCs w:val="24"/>
        </w:rPr>
        <w:t>时间：</w:t>
      </w:r>
      <w:r>
        <w:rPr>
          <w:rFonts w:hint="eastAsia" w:ascii="宋体" w:hAnsi="宋体"/>
          <w:sz w:val="24"/>
          <w:szCs w:val="24"/>
          <w:lang w:eastAsia="zh-CN"/>
        </w:rPr>
        <w:t>2024</w:t>
      </w:r>
      <w:r>
        <w:rPr>
          <w:rFonts w:hint="eastAsia" w:ascii="宋体" w:hAnsi="宋体"/>
          <w:sz w:val="24"/>
          <w:szCs w:val="24"/>
        </w:rPr>
        <w:t>年</w:t>
      </w:r>
      <w:r>
        <w:rPr>
          <w:rFonts w:hint="eastAsia" w:ascii="宋体" w:hAnsi="宋体"/>
          <w:sz w:val="24"/>
          <w:szCs w:val="24"/>
          <w:u w:val="single"/>
          <w:lang w:val="en-US" w:eastAsia="zh-CN"/>
        </w:rPr>
        <w:t>9</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u w:val="single"/>
          <w:lang w:val="en-US" w:eastAsia="zh-CN"/>
        </w:rPr>
        <w:t>16</w:t>
      </w:r>
      <w:r>
        <w:rPr>
          <w:rFonts w:hint="eastAsia" w:ascii="宋体" w:hAnsi="宋体"/>
          <w:sz w:val="24"/>
          <w:szCs w:val="24"/>
        </w:rPr>
        <w:t>日上午11：00。</w:t>
      </w:r>
    </w:p>
    <w:p w14:paraId="5CFAE41E">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14:paraId="614282FA">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14:paraId="6B8FF02C">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14:paraId="549D631C">
      <w:pPr>
        <w:spacing w:line="400" w:lineRule="exact"/>
        <w:ind w:firstLine="360" w:firstLineChars="150"/>
        <w:jc w:val="left"/>
        <w:rPr>
          <w:rFonts w:ascii="宋体" w:hAnsi="宋体"/>
          <w:sz w:val="24"/>
          <w:szCs w:val="24"/>
          <w:u w:val="single"/>
        </w:rPr>
      </w:pPr>
    </w:p>
    <w:p w14:paraId="5447BB52">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景德镇市国信物流仓储有限公司</w:t>
      </w:r>
      <w:r>
        <w:rPr>
          <w:rFonts w:hint="eastAsia" w:ascii="宋体" w:hAnsi="宋体"/>
          <w:sz w:val="24"/>
          <w:szCs w:val="24"/>
        </w:rPr>
        <w:t xml:space="preserve">                                                              </w:t>
      </w:r>
      <w:r>
        <w:rPr>
          <w:rFonts w:hint="eastAsia" w:ascii="宋体" w:hAnsi="宋体"/>
          <w:sz w:val="24"/>
          <w:szCs w:val="24"/>
          <w:lang w:eastAsia="zh-CN"/>
        </w:rPr>
        <w:t>2024</w:t>
      </w:r>
      <w:r>
        <w:rPr>
          <w:rFonts w:hint="eastAsia" w:ascii="宋体" w:hAnsi="宋体"/>
          <w:sz w:val="24"/>
          <w:szCs w:val="24"/>
        </w:rPr>
        <w:t>年</w:t>
      </w:r>
      <w:r>
        <w:rPr>
          <w:rFonts w:hint="eastAsia" w:ascii="宋体" w:hAnsi="宋体"/>
          <w:sz w:val="24"/>
          <w:szCs w:val="24"/>
          <w:lang w:val="en-US" w:eastAsia="zh-CN"/>
        </w:rPr>
        <w:t>9</w:t>
      </w:r>
      <w:r>
        <w:rPr>
          <w:rFonts w:hint="eastAsia" w:ascii="宋体" w:hAnsi="宋体"/>
          <w:sz w:val="24"/>
          <w:szCs w:val="24"/>
        </w:rPr>
        <w:t>月</w:t>
      </w:r>
      <w:r>
        <w:rPr>
          <w:rFonts w:hint="eastAsia" w:ascii="宋体" w:hAnsi="宋体"/>
          <w:sz w:val="24"/>
          <w:szCs w:val="24"/>
          <w:lang w:val="en-US" w:eastAsia="zh-CN"/>
        </w:rPr>
        <w:t>9</w:t>
      </w:r>
      <w:bookmarkStart w:id="8" w:name="_GoBack"/>
      <w:bookmarkEnd w:id="8"/>
      <w:r>
        <w:rPr>
          <w:rFonts w:hint="eastAsia" w:ascii="宋体" w:hAnsi="宋体"/>
          <w:sz w:val="24"/>
          <w:szCs w:val="24"/>
        </w:rPr>
        <w:t xml:space="preserve">日        </w:t>
      </w:r>
    </w:p>
    <w:p w14:paraId="019E3FB9">
      <w:pPr>
        <w:spacing w:line="400" w:lineRule="exact"/>
        <w:rPr>
          <w:rFonts w:ascii="宋体" w:hAnsi="宋体"/>
          <w:sz w:val="24"/>
          <w:szCs w:val="24"/>
        </w:rPr>
      </w:pPr>
    </w:p>
    <w:p w14:paraId="0CDD34B6">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14:paraId="4B8F7734">
      <w:pPr>
        <w:spacing w:line="400" w:lineRule="exact"/>
        <w:rPr>
          <w:rFonts w:ascii="宋体" w:hAnsi="宋体"/>
          <w:sz w:val="24"/>
          <w:szCs w:val="24"/>
        </w:rPr>
      </w:pPr>
    </w:p>
    <w:p w14:paraId="4A5840B5">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14:paraId="5EB0A696">
      <w:pPr>
        <w:rPr>
          <w:rFonts w:ascii="宋体" w:hAnsi="宋体"/>
          <w:b/>
          <w:sz w:val="44"/>
          <w:szCs w:val="44"/>
        </w:rPr>
      </w:pPr>
      <w:r>
        <w:rPr>
          <w:rFonts w:hint="eastAsia" w:ascii="宋体" w:hAnsi="宋体"/>
          <w:b/>
          <w:sz w:val="24"/>
          <w:szCs w:val="24"/>
        </w:rPr>
        <w:t>前附表</w:t>
      </w:r>
    </w:p>
    <w:tbl>
      <w:tblPr>
        <w:tblStyle w:val="3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14:paraId="2970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14:paraId="3DAB0E12">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14:paraId="7B74DA6F">
            <w:pPr>
              <w:spacing w:line="400" w:lineRule="exact"/>
              <w:jc w:val="center"/>
              <w:rPr>
                <w:rFonts w:ascii="宋体" w:hAnsi="宋体"/>
                <w:b/>
                <w:sz w:val="24"/>
                <w:szCs w:val="24"/>
              </w:rPr>
            </w:pPr>
            <w:r>
              <w:rPr>
                <w:rFonts w:hint="eastAsia" w:ascii="宋体" w:hAnsi="宋体"/>
                <w:b/>
                <w:sz w:val="24"/>
                <w:szCs w:val="24"/>
              </w:rPr>
              <w:t>内    容</w:t>
            </w:r>
          </w:p>
        </w:tc>
      </w:tr>
      <w:tr w14:paraId="4D21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14:paraId="15C46C96">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14:paraId="58C9251A">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景德镇国控喜盈门建材家具广场建设项目室内环境检测</w:t>
            </w:r>
          </w:p>
        </w:tc>
      </w:tr>
      <w:tr w14:paraId="6FE4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14:paraId="1DDD161C">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14:paraId="0A5353AB">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lang w:eastAsia="zh-CN"/>
              </w:rPr>
              <w:t>景德镇市国信物流仓储有限公司</w:t>
            </w:r>
            <w:r>
              <w:rPr>
                <w:sz w:val="24"/>
                <w:u w:val="single"/>
              </w:rPr>
              <w:t xml:space="preserve">   </w:t>
            </w:r>
          </w:p>
        </w:tc>
      </w:tr>
      <w:tr w14:paraId="3783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41FA6D2">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14:paraId="5903075F">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14:paraId="7974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6517C8C">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14:paraId="14D3A04F">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14:paraId="7BBA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14:paraId="7A774F42">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14:paraId="1EE02EC1">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14:paraId="5A8E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14:paraId="042199FA">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14:paraId="4AADFD75">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w:t>
            </w:r>
          </w:p>
        </w:tc>
      </w:tr>
      <w:tr w14:paraId="08EB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14:paraId="58ECC5FD">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14:paraId="7F4CBF3D">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14:paraId="33AD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14:paraId="3E249F9C">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14:paraId="0B642257">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val="en-US" w:eastAsia="zh-CN"/>
              </w:rPr>
              <w:t>叁万玖仟陆佰元整（39600元）</w:t>
            </w:r>
            <w:r>
              <w:rPr>
                <w:rFonts w:hint="eastAsia" w:ascii="宋体" w:hAnsi="宋体"/>
                <w:sz w:val="24"/>
                <w:szCs w:val="24"/>
              </w:rPr>
              <w:t>，任何超过最高限价的投标报价，招标人不予接受。</w:t>
            </w:r>
          </w:p>
        </w:tc>
      </w:tr>
      <w:tr w14:paraId="26FE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2264759A">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14:paraId="500344EE">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14:paraId="54C5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1CACEAE1">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14:paraId="3782BE58">
            <w:pPr>
              <w:pStyle w:val="65"/>
              <w:spacing w:line="400" w:lineRule="exact"/>
              <w:jc w:val="left"/>
              <w:rPr>
                <w:rFonts w:hint="default" w:ascii="宋体" w:hAnsi="宋体"/>
                <w:sz w:val="24"/>
                <w:szCs w:val="24"/>
                <w:lang w:val="en-US" w:eastAsia="zh-CN"/>
              </w:rPr>
            </w:pPr>
            <w:r>
              <w:rPr>
                <w:rFonts w:hint="eastAsia" w:ascii="宋体" w:hAnsi="宋体" w:cs="Times New Roman"/>
                <w:sz w:val="24"/>
                <w:szCs w:val="24"/>
              </w:rPr>
              <w:t xml:space="preserve">控制价编制依据： </w:t>
            </w:r>
            <w:r>
              <w:rPr>
                <w:rFonts w:hint="eastAsia" w:ascii="宋体" w:hAnsi="宋体"/>
                <w:sz w:val="24"/>
                <w:szCs w:val="24"/>
                <w:lang w:eastAsia="zh-CN"/>
              </w:rPr>
              <w:t>参考</w:t>
            </w:r>
            <w:r>
              <w:rPr>
                <w:rFonts w:hint="eastAsia" w:ascii="宋体" w:hAnsi="宋体"/>
                <w:sz w:val="24"/>
                <w:szCs w:val="24"/>
                <w:lang w:val="en-US" w:eastAsia="zh-CN"/>
              </w:rPr>
              <w:t>江西省环境监测指导价，以每点600元进行招标</w:t>
            </w:r>
          </w:p>
          <w:p w14:paraId="04E488E1">
            <w:pPr>
              <w:widowControl/>
              <w:jc w:val="left"/>
              <w:rPr>
                <w:rFonts w:hint="eastAsia" w:ascii="宋体" w:hAnsi="宋体"/>
                <w:sz w:val="24"/>
                <w:szCs w:val="24"/>
                <w:lang w:val="en-US" w:eastAsia="zh-CN"/>
              </w:rPr>
            </w:pPr>
          </w:p>
          <w:p w14:paraId="19452297">
            <w:pPr>
              <w:widowControl/>
              <w:jc w:val="left"/>
              <w:rPr>
                <w:rFonts w:hint="default" w:ascii="宋体" w:hAnsi="宋体"/>
                <w:sz w:val="24"/>
                <w:szCs w:val="24"/>
                <w:lang w:val="en-US" w:eastAsia="zh-CN"/>
              </w:rPr>
            </w:pPr>
            <w:r>
              <w:drawing>
                <wp:anchor distT="0" distB="0" distL="114300" distR="114300" simplePos="0" relativeHeight="251659264" behindDoc="0" locked="0" layoutInCell="1" allowOverlap="1">
                  <wp:simplePos x="0" y="0"/>
                  <wp:positionH relativeFrom="column">
                    <wp:posOffset>-50165</wp:posOffset>
                  </wp:positionH>
                  <wp:positionV relativeFrom="paragraph">
                    <wp:posOffset>364490</wp:posOffset>
                  </wp:positionV>
                  <wp:extent cx="4933950" cy="1381125"/>
                  <wp:effectExtent l="0" t="0" r="0" b="952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9"/>
                          <a:stretch>
                            <a:fillRect/>
                          </a:stretch>
                        </pic:blipFill>
                        <pic:spPr>
                          <a:xfrm>
                            <a:off x="0" y="0"/>
                            <a:ext cx="4933950" cy="1381125"/>
                          </a:xfrm>
                          <a:prstGeom prst="rect">
                            <a:avLst/>
                          </a:prstGeom>
                          <a:noFill/>
                          <a:ln>
                            <a:noFill/>
                          </a:ln>
                        </pic:spPr>
                      </pic:pic>
                    </a:graphicData>
                  </a:graphic>
                </wp:anchor>
              </w:drawing>
            </w:r>
          </w:p>
        </w:tc>
      </w:tr>
    </w:tbl>
    <w:p w14:paraId="6022005B">
      <w:pPr>
        <w:spacing w:line="400" w:lineRule="exact"/>
        <w:jc w:val="center"/>
        <w:rPr>
          <w:rFonts w:ascii="宋体" w:hAnsi="宋体"/>
          <w:b/>
          <w:sz w:val="24"/>
          <w:szCs w:val="24"/>
        </w:rPr>
      </w:pPr>
    </w:p>
    <w:p w14:paraId="1BD3B197">
      <w:pPr>
        <w:spacing w:line="400" w:lineRule="exact"/>
        <w:jc w:val="center"/>
        <w:rPr>
          <w:rFonts w:ascii="宋体" w:hAnsi="宋体"/>
          <w:b/>
          <w:sz w:val="24"/>
          <w:szCs w:val="24"/>
        </w:rPr>
      </w:pPr>
    </w:p>
    <w:p w14:paraId="291DBD0B">
      <w:pPr>
        <w:spacing w:line="400" w:lineRule="exact"/>
        <w:jc w:val="center"/>
        <w:rPr>
          <w:rFonts w:ascii="宋体" w:hAnsi="宋体"/>
          <w:b/>
          <w:sz w:val="24"/>
          <w:szCs w:val="24"/>
        </w:rPr>
      </w:pPr>
    </w:p>
    <w:p w14:paraId="0FC5122F">
      <w:pPr>
        <w:spacing w:line="400" w:lineRule="exact"/>
        <w:jc w:val="center"/>
        <w:rPr>
          <w:rFonts w:ascii="宋体" w:hAnsi="宋体"/>
          <w:b/>
          <w:sz w:val="24"/>
          <w:szCs w:val="24"/>
        </w:rPr>
      </w:pPr>
    </w:p>
    <w:p w14:paraId="62DE69C1">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14:paraId="19464149">
      <w:pPr>
        <w:spacing w:line="400" w:lineRule="exact"/>
        <w:rPr>
          <w:rFonts w:ascii="宋体" w:hAnsi="宋体"/>
          <w:b/>
          <w:sz w:val="24"/>
          <w:szCs w:val="24"/>
        </w:rPr>
      </w:pPr>
    </w:p>
    <w:p w14:paraId="75776945">
      <w:pPr>
        <w:spacing w:line="400" w:lineRule="exact"/>
        <w:jc w:val="center"/>
        <w:rPr>
          <w:rFonts w:ascii="宋体" w:hAnsi="宋体"/>
          <w:b/>
          <w:sz w:val="28"/>
          <w:szCs w:val="28"/>
        </w:rPr>
      </w:pPr>
      <w:r>
        <w:rPr>
          <w:rFonts w:hint="eastAsia" w:ascii="宋体" w:hAnsi="宋体"/>
          <w:b/>
          <w:sz w:val="28"/>
          <w:szCs w:val="28"/>
        </w:rPr>
        <w:t>一、总 则</w:t>
      </w:r>
    </w:p>
    <w:p w14:paraId="45815006">
      <w:pPr>
        <w:spacing w:line="400" w:lineRule="exact"/>
        <w:jc w:val="left"/>
        <w:rPr>
          <w:rFonts w:ascii="宋体" w:hAnsi="宋体"/>
          <w:sz w:val="24"/>
          <w:szCs w:val="24"/>
        </w:rPr>
      </w:pPr>
      <w:r>
        <w:rPr>
          <w:rFonts w:hint="eastAsia" w:ascii="宋体" w:hAnsi="宋体"/>
          <w:b/>
          <w:sz w:val="24"/>
          <w:szCs w:val="24"/>
        </w:rPr>
        <w:t>（一）招标方式</w:t>
      </w:r>
    </w:p>
    <w:p w14:paraId="68D15D28">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景德镇市国信物流仓储有限公司</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景德镇国控喜盈门建材家具广场建设项目室内环境检测</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景德镇国控喜盈门建材家具广场建设项目室内环境检测</w:t>
      </w:r>
      <w:r>
        <w:rPr>
          <w:rFonts w:hint="eastAsia" w:ascii="宋体" w:hAnsi="宋体"/>
          <w:sz w:val="24"/>
          <w:szCs w:val="24"/>
        </w:rPr>
        <w:t xml:space="preserve">。  </w:t>
      </w:r>
    </w:p>
    <w:p w14:paraId="2E462EF2">
      <w:pPr>
        <w:spacing w:line="400" w:lineRule="exact"/>
        <w:jc w:val="left"/>
        <w:rPr>
          <w:rFonts w:ascii="宋体" w:hAnsi="宋体"/>
          <w:b/>
          <w:sz w:val="24"/>
          <w:szCs w:val="24"/>
        </w:rPr>
      </w:pPr>
      <w:r>
        <w:rPr>
          <w:rFonts w:hint="eastAsia" w:ascii="宋体" w:hAnsi="宋体"/>
          <w:b/>
          <w:sz w:val="24"/>
          <w:szCs w:val="24"/>
        </w:rPr>
        <w:t>（二）合格的投标人</w:t>
      </w:r>
    </w:p>
    <w:p w14:paraId="77B42328">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14:paraId="0F0132AE">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景德镇国控喜盈门建材家具广场建设项目室内环境检测(</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14:paraId="26F994D3">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14:paraId="191EE104">
      <w:pPr>
        <w:spacing w:line="400" w:lineRule="exact"/>
        <w:jc w:val="left"/>
        <w:rPr>
          <w:rFonts w:ascii="宋体" w:hAnsi="宋体"/>
          <w:sz w:val="24"/>
          <w:szCs w:val="24"/>
        </w:rPr>
      </w:pPr>
      <w:r>
        <w:rPr>
          <w:rFonts w:hint="eastAsia" w:ascii="宋体" w:hAnsi="宋体"/>
          <w:b/>
          <w:sz w:val="24"/>
          <w:szCs w:val="24"/>
        </w:rPr>
        <w:t>（三）适用法律</w:t>
      </w:r>
    </w:p>
    <w:p w14:paraId="43BCA6C5">
      <w:pPr>
        <w:pStyle w:val="23"/>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竞标</w:t>
      </w:r>
      <w:r>
        <w:rPr>
          <w:rFonts w:hint="eastAsia" w:ascii="宋体" w:hAnsi="宋体" w:eastAsia="宋体"/>
          <w:sz w:val="24"/>
          <w:szCs w:val="24"/>
        </w:rPr>
        <w:t>及由本次</w:t>
      </w:r>
      <w:r>
        <w:rPr>
          <w:rFonts w:hint="eastAsia" w:ascii="宋体" w:hAnsi="宋体" w:eastAsia="宋体"/>
          <w:sz w:val="24"/>
          <w:szCs w:val="24"/>
          <w:lang w:eastAsia="zh-CN"/>
        </w:rPr>
        <w:t>竞标</w:t>
      </w:r>
      <w:r>
        <w:rPr>
          <w:rFonts w:hint="eastAsia" w:ascii="宋体" w:hAnsi="宋体" w:eastAsia="宋体"/>
          <w:sz w:val="24"/>
          <w:szCs w:val="24"/>
        </w:rPr>
        <w:t>产生的合同受中华人民共和国的相关法律、法规制约和保护。</w:t>
      </w:r>
    </w:p>
    <w:p w14:paraId="1EFED67E">
      <w:pPr>
        <w:spacing w:line="400" w:lineRule="exact"/>
        <w:jc w:val="left"/>
        <w:rPr>
          <w:rFonts w:ascii="宋体" w:hAnsi="宋体"/>
          <w:sz w:val="24"/>
          <w:szCs w:val="24"/>
        </w:rPr>
      </w:pPr>
      <w:r>
        <w:rPr>
          <w:rFonts w:hint="eastAsia" w:ascii="宋体" w:hAnsi="宋体"/>
          <w:b/>
          <w:sz w:val="24"/>
          <w:szCs w:val="24"/>
        </w:rPr>
        <w:t>（四）委托招标费用</w:t>
      </w:r>
    </w:p>
    <w:p w14:paraId="1717B86E">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竞标</w:t>
      </w:r>
      <w:r>
        <w:rPr>
          <w:rFonts w:hint="eastAsia" w:ascii="宋体" w:hAnsi="宋体"/>
          <w:sz w:val="24"/>
          <w:szCs w:val="24"/>
        </w:rPr>
        <w:t>有关的费用。</w:t>
      </w:r>
    </w:p>
    <w:p w14:paraId="18F1AB71">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竞标</w:t>
      </w:r>
      <w:r>
        <w:rPr>
          <w:rFonts w:hint="eastAsia" w:ascii="宋体" w:hAnsi="宋体"/>
          <w:b/>
          <w:sz w:val="24"/>
          <w:szCs w:val="24"/>
        </w:rPr>
        <w:t>文件的约束力</w:t>
      </w:r>
    </w:p>
    <w:p w14:paraId="2C3F159B">
      <w:pPr>
        <w:spacing w:line="400" w:lineRule="exact"/>
        <w:ind w:firstLine="480" w:firstLineChars="200"/>
        <w:rPr>
          <w:rFonts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竞标</w:t>
      </w:r>
      <w:r>
        <w:rPr>
          <w:rFonts w:hint="eastAsia" w:ascii="宋体" w:hAnsi="宋体"/>
          <w:sz w:val="24"/>
          <w:szCs w:val="24"/>
        </w:rPr>
        <w:t>文件并参加本项目竞标，即被认为接受了本</w:t>
      </w:r>
      <w:r>
        <w:rPr>
          <w:rFonts w:hint="eastAsia" w:ascii="宋体" w:hAnsi="宋体"/>
          <w:sz w:val="24"/>
          <w:szCs w:val="24"/>
          <w:lang w:eastAsia="zh-CN"/>
        </w:rPr>
        <w:t>竞标</w:t>
      </w:r>
      <w:r>
        <w:rPr>
          <w:rFonts w:hint="eastAsia" w:ascii="宋体" w:hAnsi="宋体"/>
          <w:sz w:val="24"/>
          <w:szCs w:val="24"/>
        </w:rPr>
        <w:t>文件中的所有条件和规定。</w:t>
      </w:r>
    </w:p>
    <w:p w14:paraId="6A4B7100">
      <w:pPr>
        <w:spacing w:line="400" w:lineRule="exact"/>
        <w:jc w:val="center"/>
        <w:rPr>
          <w:rFonts w:ascii="宋体" w:hAnsi="宋体"/>
          <w:b/>
          <w:sz w:val="28"/>
          <w:szCs w:val="28"/>
        </w:rPr>
      </w:pPr>
      <w:r>
        <w:rPr>
          <w:rFonts w:hint="eastAsia" w:ascii="宋体" w:hAnsi="宋体"/>
          <w:b/>
          <w:sz w:val="28"/>
          <w:szCs w:val="28"/>
        </w:rPr>
        <w:t>二、竞标文件的编制</w:t>
      </w:r>
    </w:p>
    <w:p w14:paraId="6D0DC240">
      <w:pPr>
        <w:spacing w:line="400" w:lineRule="exact"/>
        <w:jc w:val="left"/>
        <w:rPr>
          <w:rFonts w:ascii="宋体" w:hAnsi="宋体"/>
          <w:b/>
          <w:sz w:val="24"/>
          <w:szCs w:val="24"/>
        </w:rPr>
      </w:pPr>
      <w:r>
        <w:rPr>
          <w:rFonts w:hint="eastAsia" w:ascii="宋体" w:hAnsi="宋体"/>
          <w:b/>
          <w:sz w:val="24"/>
          <w:szCs w:val="24"/>
        </w:rPr>
        <w:t>（七）竞标文件的编制要求</w:t>
      </w:r>
    </w:p>
    <w:p w14:paraId="4ADD429A">
      <w:pPr>
        <w:spacing w:line="400" w:lineRule="exact"/>
        <w:ind w:firstLine="480" w:firstLineChars="200"/>
        <w:rPr>
          <w:rFonts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竞标</w:t>
      </w:r>
      <w:r>
        <w:rPr>
          <w:rFonts w:hint="eastAsia" w:ascii="宋体" w:hAnsi="宋体"/>
          <w:sz w:val="24"/>
          <w:szCs w:val="24"/>
        </w:rPr>
        <w:t>文件”的所有内容，按“</w:t>
      </w:r>
      <w:r>
        <w:rPr>
          <w:rFonts w:hint="eastAsia" w:ascii="宋体" w:hAnsi="宋体"/>
          <w:sz w:val="24"/>
          <w:szCs w:val="24"/>
          <w:lang w:eastAsia="zh-CN"/>
        </w:rPr>
        <w:t>竞标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竞标</w:t>
      </w:r>
      <w:r>
        <w:rPr>
          <w:rFonts w:hint="eastAsia" w:ascii="宋体" w:hAnsi="宋体"/>
          <w:sz w:val="24"/>
          <w:szCs w:val="24"/>
        </w:rPr>
        <w:t>文件”作出实质性响应。否则，可能被拒绝。</w:t>
      </w:r>
    </w:p>
    <w:p w14:paraId="763BC8AB">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14:paraId="5887FFE3">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14:paraId="787DC4DE">
      <w:pPr>
        <w:spacing w:line="400" w:lineRule="exact"/>
        <w:jc w:val="left"/>
        <w:rPr>
          <w:rFonts w:ascii="宋体" w:hAnsi="宋体"/>
          <w:sz w:val="24"/>
          <w:szCs w:val="24"/>
        </w:rPr>
      </w:pPr>
      <w:r>
        <w:rPr>
          <w:rFonts w:hint="eastAsia" w:ascii="宋体" w:hAnsi="宋体"/>
          <w:b/>
          <w:sz w:val="24"/>
          <w:szCs w:val="24"/>
        </w:rPr>
        <w:t>（八）竞标文件构成</w:t>
      </w:r>
    </w:p>
    <w:p w14:paraId="60D1889B">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14:paraId="59F297FA">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14:paraId="0C004965">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14:paraId="14D20F83">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14:paraId="376A2F9E">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14:paraId="5877D8E9">
      <w:pPr>
        <w:spacing w:line="400" w:lineRule="exact"/>
        <w:ind w:firstLine="480" w:firstLineChars="200"/>
        <w:jc w:val="left"/>
        <w:rPr>
          <w:rFonts w:ascii="宋体" w:hAnsi="宋体"/>
          <w:sz w:val="24"/>
          <w:szCs w:val="24"/>
        </w:rPr>
      </w:pPr>
      <w:r>
        <w:rPr>
          <w:rFonts w:hint="eastAsia" w:ascii="宋体" w:hAnsi="宋体"/>
          <w:sz w:val="24"/>
          <w:szCs w:val="24"/>
        </w:rPr>
        <w:t>2、商务文件</w:t>
      </w:r>
    </w:p>
    <w:p w14:paraId="1FE5BFCA">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14:paraId="48991C13">
      <w:pPr>
        <w:spacing w:line="4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投标人认为有必要提供的其它材料。</w:t>
      </w:r>
    </w:p>
    <w:p w14:paraId="328EEF8A">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14:paraId="54FEEE5A">
      <w:pPr>
        <w:spacing w:line="400" w:lineRule="exact"/>
        <w:jc w:val="left"/>
        <w:rPr>
          <w:rFonts w:ascii="宋体" w:hAnsi="宋体"/>
          <w:sz w:val="24"/>
          <w:szCs w:val="24"/>
        </w:rPr>
      </w:pPr>
      <w:r>
        <w:rPr>
          <w:rFonts w:hint="eastAsia" w:ascii="宋体" w:hAnsi="宋体"/>
          <w:b/>
          <w:sz w:val="24"/>
          <w:szCs w:val="24"/>
        </w:rPr>
        <w:t>（九）竞标文件格式</w:t>
      </w:r>
    </w:p>
    <w:p w14:paraId="20EAC41F">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竞标</w:t>
      </w:r>
      <w:r>
        <w:rPr>
          <w:rFonts w:hint="eastAsia" w:ascii="宋体" w:hAnsi="宋体"/>
          <w:sz w:val="24"/>
          <w:szCs w:val="24"/>
        </w:rPr>
        <w:t>文件》，并按</w:t>
      </w:r>
      <w:r>
        <w:rPr>
          <w:rFonts w:hint="eastAsia" w:ascii="宋体" w:hAnsi="宋体"/>
          <w:sz w:val="24"/>
          <w:szCs w:val="24"/>
          <w:lang w:eastAsia="zh-CN"/>
        </w:rPr>
        <w:t>竞标</w:t>
      </w:r>
      <w:r>
        <w:rPr>
          <w:rFonts w:hint="eastAsia" w:ascii="宋体" w:hAnsi="宋体"/>
          <w:sz w:val="24"/>
          <w:szCs w:val="24"/>
        </w:rPr>
        <w:t>文件中提供的格式填写竞标函、授权委托书、</w:t>
      </w:r>
      <w:r>
        <w:rPr>
          <w:rFonts w:hint="eastAsia" w:ascii="宋体" w:hAnsi="宋体"/>
          <w:sz w:val="24"/>
          <w:szCs w:val="24"/>
          <w:lang w:eastAsia="zh-CN"/>
        </w:rPr>
        <w:t>竞标</w:t>
      </w:r>
      <w:r>
        <w:rPr>
          <w:rFonts w:hint="eastAsia" w:ascii="宋体" w:hAnsi="宋体"/>
          <w:sz w:val="24"/>
          <w:szCs w:val="24"/>
        </w:rPr>
        <w:t>报价一览表等材料。</w:t>
      </w:r>
    </w:p>
    <w:p w14:paraId="145A8932">
      <w:pPr>
        <w:spacing w:line="400" w:lineRule="exact"/>
        <w:jc w:val="left"/>
        <w:rPr>
          <w:rFonts w:ascii="宋体" w:hAnsi="宋体"/>
          <w:sz w:val="24"/>
          <w:szCs w:val="24"/>
        </w:rPr>
      </w:pPr>
      <w:r>
        <w:rPr>
          <w:rFonts w:hint="eastAsia" w:ascii="宋体" w:hAnsi="宋体"/>
          <w:b/>
          <w:sz w:val="24"/>
          <w:szCs w:val="24"/>
        </w:rPr>
        <w:t>（十）竞标报价</w:t>
      </w:r>
    </w:p>
    <w:p w14:paraId="3242155A">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14:paraId="6EB89B6D">
      <w:pPr>
        <w:spacing w:line="400" w:lineRule="exact"/>
        <w:ind w:firstLine="480" w:firstLineChars="200"/>
        <w:rPr>
          <w:rFonts w:ascii="宋体" w:hAnsi="宋体"/>
          <w:sz w:val="24"/>
          <w:szCs w:val="24"/>
        </w:rPr>
      </w:pPr>
      <w:r>
        <w:rPr>
          <w:rFonts w:hint="eastAsia" w:ascii="宋体" w:hAnsi="宋体"/>
          <w:sz w:val="24"/>
          <w:szCs w:val="24"/>
        </w:rPr>
        <w:t>3.1投标报价编制要求</w:t>
      </w:r>
    </w:p>
    <w:p w14:paraId="69A76264">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14:paraId="14B293D1">
      <w:pPr>
        <w:spacing w:line="400" w:lineRule="exact"/>
        <w:jc w:val="left"/>
        <w:rPr>
          <w:rFonts w:ascii="宋体" w:hAnsi="宋体"/>
          <w:sz w:val="24"/>
          <w:szCs w:val="24"/>
        </w:rPr>
      </w:pPr>
      <w:r>
        <w:rPr>
          <w:rFonts w:hint="eastAsia" w:ascii="宋体" w:hAnsi="宋体"/>
          <w:b/>
          <w:sz w:val="24"/>
          <w:szCs w:val="24"/>
        </w:rPr>
        <w:t>（十一）竞标有效期</w:t>
      </w:r>
    </w:p>
    <w:p w14:paraId="7A8B9386">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14:paraId="5EA7347F">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竞标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14:paraId="2431B412">
      <w:pPr>
        <w:spacing w:line="400" w:lineRule="exact"/>
        <w:jc w:val="left"/>
        <w:rPr>
          <w:rFonts w:ascii="宋体" w:hAnsi="宋体"/>
          <w:sz w:val="24"/>
          <w:szCs w:val="24"/>
        </w:rPr>
      </w:pPr>
      <w:r>
        <w:rPr>
          <w:rFonts w:hint="eastAsia" w:ascii="宋体" w:hAnsi="宋体"/>
          <w:b/>
          <w:sz w:val="24"/>
          <w:szCs w:val="24"/>
        </w:rPr>
        <w:t>（十二）竞标文件签署</w:t>
      </w:r>
    </w:p>
    <w:p w14:paraId="5A78C65B">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14:paraId="71FB88E3">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14:paraId="5E6B85DC">
      <w:pPr>
        <w:spacing w:line="400" w:lineRule="exact"/>
        <w:jc w:val="center"/>
        <w:rPr>
          <w:rFonts w:ascii="宋体" w:hAnsi="宋体"/>
          <w:b/>
          <w:sz w:val="28"/>
          <w:szCs w:val="28"/>
        </w:rPr>
      </w:pPr>
      <w:r>
        <w:rPr>
          <w:rFonts w:hint="eastAsia" w:ascii="宋体" w:hAnsi="宋体"/>
          <w:b/>
          <w:sz w:val="28"/>
          <w:szCs w:val="28"/>
        </w:rPr>
        <w:t>三、竞标文件的递交</w:t>
      </w:r>
    </w:p>
    <w:p w14:paraId="6A17D409">
      <w:pPr>
        <w:spacing w:line="400" w:lineRule="exact"/>
        <w:jc w:val="left"/>
        <w:rPr>
          <w:rFonts w:ascii="宋体" w:hAnsi="宋体"/>
          <w:sz w:val="24"/>
          <w:szCs w:val="24"/>
        </w:rPr>
      </w:pPr>
      <w:r>
        <w:rPr>
          <w:rFonts w:hint="eastAsia" w:ascii="宋体" w:hAnsi="宋体"/>
          <w:b/>
          <w:sz w:val="24"/>
          <w:szCs w:val="24"/>
        </w:rPr>
        <w:t>（十三）竞标文件的密封和标记</w:t>
      </w:r>
    </w:p>
    <w:p w14:paraId="4D317005">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14:paraId="5F19C004">
      <w:pPr>
        <w:spacing w:line="400" w:lineRule="exact"/>
        <w:ind w:firstLine="480" w:firstLineChars="200"/>
        <w:jc w:val="left"/>
        <w:rPr>
          <w:rFonts w:ascii="宋体" w:hAnsi="宋体"/>
          <w:sz w:val="24"/>
          <w:szCs w:val="24"/>
        </w:rPr>
      </w:pPr>
      <w:r>
        <w:rPr>
          <w:rFonts w:hint="eastAsia" w:ascii="宋体" w:hAnsi="宋体"/>
          <w:sz w:val="24"/>
          <w:szCs w:val="24"/>
        </w:rPr>
        <w:t>2、密封件格式</w:t>
      </w:r>
    </w:p>
    <w:p w14:paraId="6454C51E">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14:paraId="33C35CFB">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14:paraId="1609DA43">
      <w:pPr>
        <w:spacing w:line="400" w:lineRule="exact"/>
        <w:jc w:val="left"/>
        <w:rPr>
          <w:rFonts w:ascii="宋体" w:hAnsi="宋体"/>
          <w:b/>
          <w:sz w:val="24"/>
          <w:szCs w:val="24"/>
        </w:rPr>
      </w:pPr>
      <w:r>
        <w:rPr>
          <w:rFonts w:hint="eastAsia" w:ascii="宋体" w:hAnsi="宋体"/>
          <w:b/>
          <w:sz w:val="24"/>
          <w:szCs w:val="24"/>
        </w:rPr>
        <w:t>（十四）竞标文件递交截止日期及方式</w:t>
      </w:r>
    </w:p>
    <w:p w14:paraId="314A2820">
      <w:pPr>
        <w:spacing w:line="400" w:lineRule="exact"/>
        <w:ind w:firstLine="470" w:firstLineChars="196"/>
        <w:rPr>
          <w:rFonts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竞标</w:t>
      </w:r>
      <w:r>
        <w:rPr>
          <w:rFonts w:hint="eastAsia" w:ascii="宋体" w:hAnsi="宋体"/>
          <w:sz w:val="24"/>
          <w:szCs w:val="24"/>
        </w:rPr>
        <w:t>文件规定的递交截止时间前送达开标地点。</w:t>
      </w:r>
    </w:p>
    <w:p w14:paraId="467BCE04">
      <w:pPr>
        <w:spacing w:line="400" w:lineRule="exact"/>
        <w:ind w:firstLine="470" w:firstLineChars="196"/>
        <w:rPr>
          <w:rFonts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竞标</w:t>
      </w:r>
      <w:r>
        <w:rPr>
          <w:rFonts w:hint="eastAsia" w:ascii="宋体" w:hAnsi="宋体"/>
          <w:sz w:val="24"/>
          <w:szCs w:val="24"/>
        </w:rPr>
        <w:t>文件规定的时间和地点举行</w:t>
      </w:r>
      <w:r>
        <w:rPr>
          <w:rFonts w:hint="eastAsia" w:ascii="宋体" w:hAnsi="宋体"/>
          <w:sz w:val="24"/>
          <w:szCs w:val="24"/>
          <w:lang w:eastAsia="zh-CN"/>
        </w:rPr>
        <w:t>竞标</w:t>
      </w:r>
      <w:r>
        <w:rPr>
          <w:rFonts w:hint="eastAsia" w:ascii="宋体" w:hAnsi="宋体"/>
          <w:sz w:val="24"/>
          <w:szCs w:val="24"/>
        </w:rPr>
        <w:t>会议。</w:t>
      </w:r>
    </w:p>
    <w:p w14:paraId="55EF1F55">
      <w:pPr>
        <w:spacing w:line="400" w:lineRule="exact"/>
        <w:ind w:firstLine="480" w:firstLineChars="200"/>
        <w:jc w:val="left"/>
        <w:rPr>
          <w:rFonts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竞标</w:t>
      </w:r>
      <w:r>
        <w:rPr>
          <w:rFonts w:hint="eastAsia" w:ascii="宋体" w:hAnsi="宋体"/>
          <w:sz w:val="24"/>
          <w:szCs w:val="24"/>
        </w:rPr>
        <w:t>文件酌情延长竞标截止日期，在此情况下，竞标人的所有权利和义务以及竞标人受制约的截止日期均应以延长后新的截止日期为准。</w:t>
      </w:r>
    </w:p>
    <w:p w14:paraId="3FBB0798">
      <w:pPr>
        <w:spacing w:line="400" w:lineRule="exact"/>
        <w:jc w:val="left"/>
        <w:rPr>
          <w:rFonts w:ascii="宋体" w:hAnsi="宋体"/>
          <w:sz w:val="24"/>
          <w:szCs w:val="24"/>
        </w:rPr>
      </w:pPr>
      <w:r>
        <w:rPr>
          <w:rFonts w:hint="eastAsia" w:ascii="宋体" w:hAnsi="宋体"/>
          <w:b/>
          <w:sz w:val="24"/>
          <w:szCs w:val="24"/>
        </w:rPr>
        <w:t>（十五）迟交的竞标文件</w:t>
      </w:r>
    </w:p>
    <w:p w14:paraId="0DACB766">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14:paraId="06807ED6">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14:paraId="73C4CA7E">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14:paraId="5B874E49">
      <w:pPr>
        <w:spacing w:line="400" w:lineRule="exact"/>
        <w:rPr>
          <w:rFonts w:ascii="宋体" w:hAnsi="宋体"/>
          <w:sz w:val="24"/>
          <w:szCs w:val="24"/>
        </w:rPr>
      </w:pPr>
    </w:p>
    <w:p w14:paraId="7743EC9D">
      <w:pPr>
        <w:spacing w:line="400" w:lineRule="exact"/>
        <w:rPr>
          <w:rFonts w:ascii="宋体" w:hAnsi="宋体"/>
          <w:sz w:val="24"/>
          <w:szCs w:val="24"/>
        </w:rPr>
      </w:pPr>
    </w:p>
    <w:p w14:paraId="25B26DE5">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14:paraId="7D08E454">
      <w:pPr>
        <w:spacing w:line="400" w:lineRule="exact"/>
        <w:jc w:val="left"/>
        <w:rPr>
          <w:rFonts w:ascii="宋体" w:hAnsi="宋体"/>
          <w:b/>
          <w:sz w:val="24"/>
          <w:szCs w:val="24"/>
        </w:rPr>
      </w:pPr>
      <w:r>
        <w:rPr>
          <w:rFonts w:hint="eastAsia" w:ascii="宋体" w:hAnsi="宋体"/>
          <w:b/>
          <w:sz w:val="24"/>
          <w:szCs w:val="24"/>
        </w:rPr>
        <w:t>（十七）无效竞标条款</w:t>
      </w:r>
    </w:p>
    <w:p w14:paraId="32F2AC2F">
      <w:pPr>
        <w:spacing w:line="400" w:lineRule="exact"/>
        <w:ind w:firstLine="600"/>
        <w:jc w:val="left"/>
        <w:rPr>
          <w:rFonts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竞标</w:t>
      </w:r>
      <w:r>
        <w:rPr>
          <w:rFonts w:hint="eastAsia" w:ascii="宋体" w:hAnsi="宋体"/>
          <w:sz w:val="24"/>
          <w:szCs w:val="24"/>
        </w:rPr>
        <w:t>文件规定或未按</w:t>
      </w:r>
      <w:r>
        <w:rPr>
          <w:rFonts w:hint="eastAsia" w:ascii="宋体" w:hAnsi="宋体"/>
          <w:sz w:val="24"/>
          <w:szCs w:val="24"/>
          <w:lang w:eastAsia="zh-CN"/>
        </w:rPr>
        <w:t>竞标</w:t>
      </w:r>
      <w:r>
        <w:rPr>
          <w:rFonts w:hint="eastAsia" w:ascii="宋体" w:hAnsi="宋体"/>
          <w:sz w:val="24"/>
          <w:szCs w:val="24"/>
        </w:rPr>
        <w:t>文件投标人须知前附表第8条内容规定提交资质证件原件的（缺项、漏项均做无效标处理）；</w:t>
      </w:r>
    </w:p>
    <w:p w14:paraId="72745834">
      <w:pPr>
        <w:spacing w:line="400" w:lineRule="exact"/>
        <w:ind w:firstLine="600"/>
        <w:jc w:val="left"/>
        <w:rPr>
          <w:rFonts w:ascii="宋体" w:hAnsi="宋体"/>
          <w:sz w:val="24"/>
          <w:szCs w:val="24"/>
        </w:rPr>
      </w:pPr>
      <w:r>
        <w:rPr>
          <w:rFonts w:hint="eastAsia" w:ascii="宋体" w:hAnsi="宋体"/>
          <w:sz w:val="24"/>
          <w:szCs w:val="24"/>
        </w:rPr>
        <w:t>2、标书密封不符合</w:t>
      </w:r>
      <w:r>
        <w:rPr>
          <w:rFonts w:hint="eastAsia" w:ascii="宋体" w:hAnsi="宋体"/>
          <w:sz w:val="24"/>
          <w:szCs w:val="24"/>
          <w:lang w:eastAsia="zh-CN"/>
        </w:rPr>
        <w:t>竞标</w:t>
      </w:r>
      <w:r>
        <w:rPr>
          <w:rFonts w:hint="eastAsia" w:ascii="宋体" w:hAnsi="宋体"/>
          <w:sz w:val="24"/>
          <w:szCs w:val="24"/>
        </w:rPr>
        <w:t>文件要求的；</w:t>
      </w:r>
    </w:p>
    <w:p w14:paraId="6FE33038">
      <w:pPr>
        <w:spacing w:line="400" w:lineRule="exact"/>
        <w:ind w:firstLine="600"/>
        <w:jc w:val="left"/>
        <w:rPr>
          <w:rFonts w:ascii="宋体" w:hAnsi="宋体"/>
          <w:sz w:val="24"/>
          <w:szCs w:val="24"/>
        </w:rPr>
      </w:pPr>
      <w:r>
        <w:rPr>
          <w:rFonts w:hint="eastAsia" w:ascii="宋体" w:hAnsi="宋体"/>
          <w:sz w:val="24"/>
          <w:szCs w:val="24"/>
        </w:rPr>
        <w:t>3、标书出现重大偏差，未对</w:t>
      </w:r>
      <w:r>
        <w:rPr>
          <w:rFonts w:hint="eastAsia" w:ascii="宋体" w:hAnsi="宋体"/>
          <w:sz w:val="24"/>
          <w:szCs w:val="24"/>
          <w:lang w:eastAsia="zh-CN"/>
        </w:rPr>
        <w:t>竞标</w:t>
      </w:r>
      <w:r>
        <w:rPr>
          <w:rFonts w:hint="eastAsia" w:ascii="宋体" w:hAnsi="宋体"/>
          <w:sz w:val="24"/>
          <w:szCs w:val="24"/>
        </w:rPr>
        <w:t>文件进行实质性响应；</w:t>
      </w:r>
    </w:p>
    <w:p w14:paraId="0AF785FA">
      <w:pPr>
        <w:spacing w:line="400" w:lineRule="exact"/>
        <w:ind w:firstLine="600"/>
        <w:jc w:val="left"/>
        <w:rPr>
          <w:rFonts w:ascii="宋体" w:hAnsi="宋体"/>
          <w:sz w:val="24"/>
          <w:szCs w:val="24"/>
        </w:rPr>
      </w:pPr>
      <w:r>
        <w:rPr>
          <w:rFonts w:hint="eastAsia" w:ascii="宋体" w:hAnsi="宋体"/>
          <w:sz w:val="24"/>
          <w:szCs w:val="24"/>
        </w:rPr>
        <w:t>4、其它</w:t>
      </w:r>
      <w:r>
        <w:rPr>
          <w:rFonts w:hint="eastAsia" w:ascii="宋体" w:hAnsi="宋体"/>
          <w:sz w:val="24"/>
          <w:szCs w:val="24"/>
          <w:lang w:eastAsia="zh-CN"/>
        </w:rPr>
        <w:t>竞标</w:t>
      </w:r>
      <w:r>
        <w:rPr>
          <w:rFonts w:hint="eastAsia" w:ascii="宋体" w:hAnsi="宋体"/>
          <w:sz w:val="24"/>
          <w:szCs w:val="24"/>
        </w:rPr>
        <w:t>小组认为有必要取消的竞标；</w:t>
      </w:r>
    </w:p>
    <w:p w14:paraId="3D6A68BC">
      <w:pPr>
        <w:spacing w:line="400" w:lineRule="exact"/>
        <w:ind w:firstLine="600"/>
        <w:jc w:val="left"/>
        <w:rPr>
          <w:rFonts w:ascii="宋体" w:hAnsi="宋体"/>
          <w:sz w:val="24"/>
          <w:szCs w:val="24"/>
        </w:rPr>
      </w:pPr>
      <w:r>
        <w:rPr>
          <w:rFonts w:hint="eastAsia" w:ascii="宋体" w:hAnsi="宋体"/>
          <w:sz w:val="24"/>
          <w:szCs w:val="24"/>
        </w:rPr>
        <w:t>5、竞标人不参加</w:t>
      </w:r>
      <w:r>
        <w:rPr>
          <w:rFonts w:hint="eastAsia" w:ascii="宋体" w:hAnsi="宋体"/>
          <w:sz w:val="24"/>
          <w:szCs w:val="24"/>
          <w:lang w:eastAsia="zh-CN"/>
        </w:rPr>
        <w:t>竞标</w:t>
      </w:r>
      <w:r>
        <w:rPr>
          <w:rFonts w:hint="eastAsia" w:ascii="宋体" w:hAnsi="宋体"/>
          <w:sz w:val="24"/>
          <w:szCs w:val="24"/>
        </w:rPr>
        <w:t>仪式及质询事宜的；</w:t>
      </w:r>
    </w:p>
    <w:p w14:paraId="26415173">
      <w:pPr>
        <w:spacing w:line="400" w:lineRule="exact"/>
        <w:ind w:firstLine="600"/>
        <w:jc w:val="left"/>
        <w:rPr>
          <w:rFonts w:ascii="宋体" w:hAnsi="宋体"/>
          <w:sz w:val="24"/>
          <w:szCs w:val="24"/>
        </w:rPr>
      </w:pPr>
      <w:r>
        <w:rPr>
          <w:rFonts w:hint="eastAsia" w:ascii="宋体" w:hAnsi="宋体"/>
          <w:sz w:val="24"/>
          <w:szCs w:val="24"/>
        </w:rPr>
        <w:t>6、法律、法规规定的其他情况；</w:t>
      </w:r>
    </w:p>
    <w:p w14:paraId="489C0343">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14:paraId="6AF0D654">
      <w:pPr>
        <w:spacing w:line="440" w:lineRule="exact"/>
        <w:ind w:firstLine="600"/>
        <w:jc w:val="left"/>
        <w:rPr>
          <w:rFonts w:ascii="宋体" w:hAnsi="宋体"/>
          <w:b/>
          <w:sz w:val="24"/>
        </w:rPr>
      </w:pPr>
      <w:r>
        <w:rPr>
          <w:rFonts w:hint="eastAsia" w:ascii="宋体" w:hAnsi="宋体"/>
          <w:b/>
          <w:sz w:val="24"/>
        </w:rPr>
        <w:t>★竞标人未及时参与</w:t>
      </w:r>
      <w:r>
        <w:rPr>
          <w:rFonts w:hint="eastAsia" w:ascii="宋体" w:hAnsi="宋体"/>
          <w:b/>
          <w:sz w:val="24"/>
          <w:lang w:eastAsia="zh-CN"/>
        </w:rPr>
        <w:t>竞标</w:t>
      </w:r>
      <w:r>
        <w:rPr>
          <w:rFonts w:hint="eastAsia" w:ascii="宋体" w:hAnsi="宋体"/>
          <w:b/>
          <w:sz w:val="24"/>
        </w:rPr>
        <w:t>或多次报价的，视为自动放弃竞标资格。</w:t>
      </w:r>
    </w:p>
    <w:p w14:paraId="31AC1AEA">
      <w:pPr>
        <w:snapToGrid w:val="0"/>
        <w:spacing w:line="400" w:lineRule="exact"/>
        <w:rPr>
          <w:rFonts w:ascii="宋体" w:hAnsi="宋体"/>
          <w:b/>
          <w:sz w:val="24"/>
          <w:szCs w:val="24"/>
        </w:rPr>
      </w:pPr>
      <w:r>
        <w:rPr>
          <w:rFonts w:hint="eastAsia" w:ascii="宋体" w:hAnsi="宋体"/>
          <w:b/>
          <w:sz w:val="24"/>
          <w:szCs w:val="24"/>
        </w:rPr>
        <w:t>（十八）废标条款</w:t>
      </w:r>
    </w:p>
    <w:p w14:paraId="7C1FD92D">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14:paraId="78F6D743">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14:paraId="27320E52">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14:paraId="1C9F7DF2">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14:paraId="0C7F576E">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14:paraId="0A87887B">
      <w:pPr>
        <w:spacing w:line="400" w:lineRule="exact"/>
        <w:jc w:val="left"/>
        <w:rPr>
          <w:rFonts w:ascii="宋体" w:hAnsi="宋体"/>
          <w:b/>
          <w:sz w:val="24"/>
          <w:szCs w:val="24"/>
        </w:rPr>
      </w:pPr>
      <w:r>
        <w:rPr>
          <w:rFonts w:hint="eastAsia" w:ascii="宋体" w:hAnsi="宋体"/>
          <w:b/>
          <w:sz w:val="24"/>
          <w:szCs w:val="24"/>
        </w:rPr>
        <w:t>（十九）取消成交候选人资格条款</w:t>
      </w:r>
    </w:p>
    <w:p w14:paraId="54CC310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14:paraId="2C037D6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14:paraId="7636E114">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14:paraId="6005882E">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14:paraId="4B469C58">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14:paraId="36AA9264">
      <w:pPr>
        <w:pStyle w:val="4"/>
        <w:spacing w:line="400" w:lineRule="exact"/>
        <w:jc w:val="center"/>
        <w:rPr>
          <w:rFonts w:hint="eastAsia" w:ascii="宋体" w:hAnsi="宋体" w:eastAsia="宋体"/>
          <w:color w:val="000000"/>
          <w:sz w:val="28"/>
          <w:szCs w:val="28"/>
          <w:lang w:eastAsia="zh-CN"/>
        </w:rPr>
      </w:pPr>
      <w:r>
        <w:rPr>
          <w:rFonts w:hint="eastAsia" w:ascii="宋体" w:hAnsi="宋体" w:eastAsia="宋体"/>
          <w:color w:val="000000"/>
          <w:sz w:val="28"/>
          <w:szCs w:val="28"/>
        </w:rPr>
        <w:t>五、</w:t>
      </w:r>
      <w:r>
        <w:rPr>
          <w:rFonts w:hint="eastAsia" w:ascii="宋体" w:hAnsi="宋体" w:eastAsia="宋体"/>
          <w:color w:val="000000"/>
          <w:sz w:val="28"/>
          <w:szCs w:val="28"/>
          <w:lang w:eastAsia="zh-CN"/>
        </w:rPr>
        <w:t>竞标</w:t>
      </w:r>
      <w:r>
        <w:rPr>
          <w:rFonts w:hint="eastAsia" w:ascii="宋体" w:hAnsi="宋体" w:eastAsia="宋体"/>
          <w:color w:val="000000"/>
          <w:sz w:val="28"/>
          <w:szCs w:val="28"/>
        </w:rPr>
        <w:t>程序及最终</w:t>
      </w:r>
      <w:bookmarkEnd w:id="3"/>
      <w:r>
        <w:rPr>
          <w:rFonts w:hint="eastAsia" w:ascii="宋体" w:hAnsi="宋体" w:eastAsia="宋体"/>
          <w:color w:val="000000"/>
          <w:sz w:val="28"/>
          <w:szCs w:val="28"/>
          <w:lang w:eastAsia="zh-CN"/>
        </w:rPr>
        <w:t>结果</w:t>
      </w:r>
    </w:p>
    <w:p w14:paraId="17CF6488">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竞标</w:t>
      </w:r>
      <w:r>
        <w:rPr>
          <w:rFonts w:hint="eastAsia" w:ascii="宋体" w:hAnsi="宋体"/>
          <w:b/>
          <w:sz w:val="24"/>
          <w:szCs w:val="24"/>
        </w:rPr>
        <w:t>仪式</w:t>
      </w:r>
    </w:p>
    <w:p w14:paraId="2C7B6556">
      <w:pPr>
        <w:widowControl/>
        <w:spacing w:line="400" w:lineRule="exact"/>
        <w:ind w:firstLine="480" w:firstLineChars="200"/>
        <w:rPr>
          <w:rFonts w:ascii="宋体" w:hAnsi="宋体"/>
          <w:sz w:val="24"/>
          <w:szCs w:val="24"/>
          <w:u w:val="single"/>
        </w:rPr>
      </w:pPr>
      <w:r>
        <w:rPr>
          <w:rFonts w:ascii="宋体" w:hAnsi="宋体"/>
          <w:sz w:val="24"/>
          <w:szCs w:val="24"/>
        </w:rPr>
        <w:t>1</w:t>
      </w:r>
      <w:r>
        <w:rPr>
          <w:rFonts w:hint="eastAsia" w:ascii="宋体" w:hAnsi="宋体"/>
          <w:sz w:val="24"/>
          <w:szCs w:val="24"/>
        </w:rPr>
        <w:t>、招标人按</w:t>
      </w:r>
      <w:r>
        <w:rPr>
          <w:rFonts w:hint="eastAsia" w:ascii="宋体" w:hAnsi="宋体"/>
          <w:sz w:val="24"/>
          <w:szCs w:val="24"/>
          <w:lang w:eastAsia="zh-CN"/>
        </w:rPr>
        <w:t>竞标</w:t>
      </w:r>
      <w:r>
        <w:rPr>
          <w:rFonts w:hint="eastAsia" w:ascii="宋体" w:hAnsi="宋体"/>
          <w:sz w:val="24"/>
          <w:szCs w:val="24"/>
        </w:rPr>
        <w:t>文件规定的时间、地点组织竞标。招标人代表及有关工作人员参加。</w:t>
      </w:r>
    </w:p>
    <w:p w14:paraId="06450DB0">
      <w:pPr>
        <w:spacing w:line="400" w:lineRule="exact"/>
        <w:ind w:firstLine="480" w:firstLineChars="200"/>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ascii="宋体" w:hAnsi="宋体"/>
          <w:b/>
          <w:sz w:val="24"/>
          <w:szCs w:val="24"/>
          <w:u w:val="single"/>
        </w:rPr>
        <w:t xml:space="preserve"> </w:t>
      </w:r>
      <w:r>
        <w:rPr>
          <w:rFonts w:hint="eastAsia" w:ascii="宋体" w:hAnsi="宋体"/>
          <w:b/>
          <w:sz w:val="24"/>
          <w:szCs w:val="24"/>
        </w:rPr>
        <w:t>（</w:t>
      </w:r>
      <w:r>
        <w:rPr>
          <w:rFonts w:hint="eastAsia" w:ascii="宋体" w:hAnsi="宋体"/>
          <w:b/>
          <w:sz w:val="24"/>
          <w:szCs w:val="24"/>
          <w:lang w:eastAsia="zh-CN"/>
        </w:rPr>
        <w:t>代建公司</w:t>
      </w:r>
      <w:r>
        <w:rPr>
          <w:rFonts w:hint="eastAsia" w:ascii="宋体" w:hAnsi="宋体"/>
          <w:b/>
          <w:sz w:val="24"/>
          <w:szCs w:val="24"/>
        </w:rPr>
        <w:t>）</w:t>
      </w:r>
      <w:r>
        <w:rPr>
          <w:rFonts w:hint="eastAsia" w:ascii="宋体" w:hAnsi="宋体"/>
          <w:sz w:val="24"/>
          <w:szCs w:val="24"/>
        </w:rPr>
        <w:t>单位主持。</w:t>
      </w:r>
    </w:p>
    <w:p w14:paraId="1F7B4441">
      <w:pPr>
        <w:spacing w:line="400" w:lineRule="exact"/>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时，由</w:t>
      </w:r>
      <w:r>
        <w:rPr>
          <w:rFonts w:hint="eastAsia" w:ascii="宋体" w:hAnsi="宋体"/>
          <w:sz w:val="24"/>
          <w:szCs w:val="24"/>
          <w:lang w:eastAsia="zh-CN"/>
        </w:rPr>
        <w:t>代建公司</w:t>
      </w:r>
      <w:r>
        <w:rPr>
          <w:rFonts w:hint="eastAsia" w:ascii="宋体" w:hAnsi="宋体"/>
          <w:sz w:val="24"/>
          <w:szCs w:val="24"/>
        </w:rPr>
        <w:t>、监管部门代表及竞标人代表检查投标文件的密封情况等。</w:t>
      </w:r>
    </w:p>
    <w:p w14:paraId="7FD16F92">
      <w:pPr>
        <w:spacing w:line="400" w:lineRule="exact"/>
        <w:rPr>
          <w:rFonts w:ascii="宋体" w:hAnsi="宋体"/>
          <w:b/>
          <w:sz w:val="24"/>
          <w:szCs w:val="24"/>
        </w:rPr>
      </w:pPr>
      <w:r>
        <w:rPr>
          <w:rFonts w:hint="eastAsia" w:ascii="宋体" w:hAnsi="宋体"/>
          <w:b/>
          <w:sz w:val="24"/>
          <w:szCs w:val="24"/>
        </w:rPr>
        <w:t>（二十一）</w:t>
      </w:r>
      <w:r>
        <w:rPr>
          <w:rFonts w:hint="eastAsia" w:ascii="宋体" w:hAnsi="宋体"/>
          <w:b/>
          <w:sz w:val="24"/>
          <w:szCs w:val="24"/>
          <w:lang w:eastAsia="zh-CN"/>
        </w:rPr>
        <w:t>竞标</w:t>
      </w:r>
      <w:r>
        <w:rPr>
          <w:rFonts w:hint="eastAsia" w:ascii="宋体" w:hAnsi="宋体"/>
          <w:b/>
          <w:sz w:val="24"/>
          <w:szCs w:val="24"/>
        </w:rPr>
        <w:t>小组</w:t>
      </w:r>
    </w:p>
    <w:p w14:paraId="2DB96987">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w:t>
      </w:r>
      <w:r>
        <w:rPr>
          <w:rFonts w:hint="eastAsia" w:ascii="宋体" w:hAnsi="宋体"/>
          <w:sz w:val="24"/>
          <w:szCs w:val="24"/>
          <w:lang w:eastAsia="zh-CN"/>
        </w:rPr>
        <w:t>竞标</w:t>
      </w:r>
      <w:r>
        <w:rPr>
          <w:rFonts w:hint="eastAsia" w:ascii="宋体" w:hAnsi="宋体"/>
          <w:sz w:val="24"/>
          <w:szCs w:val="24"/>
        </w:rPr>
        <w:t>小组，其成员由三人以上单数组成。</w:t>
      </w:r>
      <w:r>
        <w:rPr>
          <w:rFonts w:hint="eastAsia" w:ascii="宋体" w:hAnsi="宋体"/>
          <w:sz w:val="24"/>
          <w:szCs w:val="24"/>
          <w:lang w:eastAsia="zh-CN"/>
        </w:rPr>
        <w:t>竞标</w:t>
      </w:r>
      <w:r>
        <w:rPr>
          <w:rFonts w:hint="eastAsia" w:ascii="宋体" w:hAnsi="宋体"/>
          <w:sz w:val="24"/>
          <w:szCs w:val="24"/>
        </w:rPr>
        <w:t>小组将独立完成评标工作，负责对竞标文件进行审查、质疑、评审、推选成交候选人。</w:t>
      </w:r>
    </w:p>
    <w:p w14:paraId="1AC63DE1">
      <w:pPr>
        <w:spacing w:line="400" w:lineRule="exact"/>
        <w:rPr>
          <w:rFonts w:ascii="宋体" w:hAnsi="宋体"/>
          <w:b/>
          <w:sz w:val="24"/>
          <w:szCs w:val="24"/>
        </w:rPr>
      </w:pPr>
      <w:r>
        <w:rPr>
          <w:rFonts w:hint="eastAsia" w:ascii="宋体" w:hAnsi="宋体"/>
          <w:b/>
          <w:sz w:val="24"/>
          <w:szCs w:val="24"/>
        </w:rPr>
        <w:t>（二十二）</w:t>
      </w:r>
      <w:r>
        <w:rPr>
          <w:rFonts w:hint="eastAsia" w:ascii="宋体" w:hAnsi="宋体"/>
          <w:b/>
          <w:sz w:val="24"/>
          <w:szCs w:val="24"/>
          <w:lang w:eastAsia="zh-CN"/>
        </w:rPr>
        <w:t>竞标</w:t>
      </w:r>
      <w:r>
        <w:rPr>
          <w:rFonts w:hint="eastAsia" w:ascii="宋体" w:hAnsi="宋体"/>
          <w:b/>
          <w:sz w:val="24"/>
          <w:szCs w:val="24"/>
        </w:rPr>
        <w:t>原则</w:t>
      </w:r>
    </w:p>
    <w:p w14:paraId="6AF46C6D">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竞标</w:t>
      </w:r>
      <w:r>
        <w:rPr>
          <w:rFonts w:hint="eastAsia" w:ascii="宋体" w:hAnsi="宋体"/>
          <w:sz w:val="24"/>
          <w:szCs w:val="24"/>
        </w:rPr>
        <w:t>小组将按照这一原则的要求，公正、平等地对待各竞标人。</w:t>
      </w:r>
    </w:p>
    <w:p w14:paraId="02558D1C">
      <w:pPr>
        <w:spacing w:line="400" w:lineRule="exact"/>
        <w:rPr>
          <w:rFonts w:ascii="宋体" w:hAnsi="宋体"/>
          <w:b/>
          <w:sz w:val="24"/>
          <w:szCs w:val="24"/>
        </w:rPr>
      </w:pPr>
      <w:r>
        <w:rPr>
          <w:rFonts w:hint="eastAsia" w:ascii="宋体" w:hAnsi="宋体"/>
          <w:b/>
          <w:sz w:val="24"/>
          <w:szCs w:val="24"/>
        </w:rPr>
        <w:t>（二十三）</w:t>
      </w:r>
      <w:r>
        <w:rPr>
          <w:rFonts w:hint="eastAsia" w:ascii="宋体" w:hAnsi="宋体"/>
          <w:b/>
          <w:sz w:val="24"/>
          <w:szCs w:val="24"/>
          <w:lang w:eastAsia="zh-CN"/>
        </w:rPr>
        <w:t>竞标</w:t>
      </w:r>
      <w:r>
        <w:rPr>
          <w:rFonts w:hint="eastAsia" w:ascii="宋体" w:hAnsi="宋体"/>
          <w:b/>
          <w:sz w:val="24"/>
          <w:szCs w:val="24"/>
        </w:rPr>
        <w:t>程序</w:t>
      </w:r>
    </w:p>
    <w:p w14:paraId="2E4EE24E">
      <w:pPr>
        <w:spacing w:line="400" w:lineRule="exact"/>
        <w:ind w:firstLine="480" w:firstLineChars="200"/>
        <w:rPr>
          <w:rFonts w:ascii="宋体" w:hAnsi="宋体"/>
          <w:b/>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小组首先对各竞标文件进行资格性审查和符合性审查，未通过审查的为无效标。</w:t>
      </w:r>
    </w:p>
    <w:p w14:paraId="711BED65">
      <w:pPr>
        <w:spacing w:line="400" w:lineRule="exact"/>
        <w:ind w:firstLine="480" w:firstLineChars="200"/>
        <w:rPr>
          <w:rFonts w:ascii="宋体" w:hAnsi="宋体"/>
          <w:sz w:val="24"/>
          <w:szCs w:val="24"/>
        </w:rPr>
      </w:pPr>
      <w:r>
        <w:rPr>
          <w:rFonts w:hint="eastAsia" w:ascii="宋体" w:hAnsi="宋体"/>
          <w:sz w:val="24"/>
          <w:szCs w:val="24"/>
        </w:rPr>
        <w:t>⑴资格性检查：</w:t>
      </w:r>
      <w:r>
        <w:rPr>
          <w:rFonts w:hint="eastAsia" w:ascii="宋体" w:hAnsi="宋体"/>
          <w:sz w:val="24"/>
          <w:szCs w:val="24"/>
          <w:lang w:eastAsia="zh-CN"/>
        </w:rPr>
        <w:t>竞标</w:t>
      </w:r>
      <w:r>
        <w:rPr>
          <w:rFonts w:hint="eastAsia" w:ascii="宋体" w:hAnsi="宋体"/>
          <w:sz w:val="24"/>
          <w:szCs w:val="24"/>
        </w:rPr>
        <w:t>小组将根据法律法规和</w:t>
      </w:r>
      <w:r>
        <w:rPr>
          <w:rFonts w:hint="eastAsia" w:ascii="宋体" w:hAnsi="宋体"/>
          <w:sz w:val="24"/>
          <w:szCs w:val="24"/>
          <w:lang w:eastAsia="zh-CN"/>
        </w:rPr>
        <w:t>竞标</w:t>
      </w:r>
      <w:r>
        <w:rPr>
          <w:rFonts w:hint="eastAsia" w:ascii="宋体" w:hAnsi="宋体"/>
          <w:sz w:val="24"/>
          <w:szCs w:val="24"/>
        </w:rPr>
        <w:t>文件的规定，对竞标文件的资格证明文件等进行审查，以确定投标人是否具备委托招标资格。</w:t>
      </w:r>
    </w:p>
    <w:p w14:paraId="4AE4F3A5">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竞标</w:t>
      </w:r>
      <w:r>
        <w:rPr>
          <w:rFonts w:hint="eastAsia" w:ascii="宋体" w:hAnsi="宋体"/>
          <w:sz w:val="24"/>
          <w:szCs w:val="24"/>
        </w:rPr>
        <w:t>文件的规定，从竞标文件的有效性、完整性和对</w:t>
      </w:r>
      <w:r>
        <w:rPr>
          <w:rFonts w:hint="eastAsia" w:ascii="宋体" w:hAnsi="宋体"/>
          <w:sz w:val="24"/>
          <w:szCs w:val="24"/>
          <w:lang w:eastAsia="zh-CN"/>
        </w:rPr>
        <w:t>竞标</w:t>
      </w:r>
      <w:r>
        <w:rPr>
          <w:rFonts w:hint="eastAsia" w:ascii="宋体" w:hAnsi="宋体"/>
          <w:sz w:val="24"/>
          <w:szCs w:val="24"/>
        </w:rPr>
        <w:t>文件的响应程度进行审查，以确定是否对</w:t>
      </w:r>
      <w:r>
        <w:rPr>
          <w:rFonts w:hint="eastAsia" w:ascii="宋体" w:hAnsi="宋体"/>
          <w:sz w:val="24"/>
          <w:szCs w:val="24"/>
          <w:lang w:eastAsia="zh-CN"/>
        </w:rPr>
        <w:t>竞标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竞标</w:t>
      </w:r>
      <w:r>
        <w:rPr>
          <w:rFonts w:hint="eastAsia" w:ascii="宋体" w:hAnsi="宋体"/>
          <w:sz w:val="24"/>
          <w:szCs w:val="24"/>
        </w:rPr>
        <w:t>文件要求。重大偏离的认定须经委托招标小组三分之二以上同意。</w:t>
      </w:r>
    </w:p>
    <w:p w14:paraId="451C652A">
      <w:pPr>
        <w:spacing w:line="40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竞标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竞标</w:t>
      </w:r>
      <w:r>
        <w:rPr>
          <w:rFonts w:hint="eastAsia" w:ascii="宋体" w:hAnsi="宋体"/>
          <w:sz w:val="24"/>
          <w:szCs w:val="24"/>
        </w:rPr>
        <w:t>小组将拒绝被确定为非实质性响应的投标人。投标人不能通过修正或撤销不符之处，而使其成为实质性响应。</w:t>
      </w:r>
    </w:p>
    <w:p w14:paraId="0340647E">
      <w:pPr>
        <w:pStyle w:val="21"/>
        <w:tabs>
          <w:tab w:val="left" w:pos="1260"/>
        </w:tabs>
        <w:spacing w:line="400" w:lineRule="exact"/>
        <w:ind w:firstLine="480" w:firstLineChars="200"/>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竞标</w:t>
      </w:r>
      <w:r>
        <w:rPr>
          <w:rFonts w:hint="eastAsia" w:hAnsi="宋体"/>
          <w:color w:val="000000"/>
          <w:sz w:val="24"/>
          <w:szCs w:val="24"/>
        </w:rPr>
        <w:t>小组根据</w:t>
      </w:r>
      <w:r>
        <w:rPr>
          <w:rFonts w:hint="eastAsia" w:hAnsi="宋体"/>
          <w:color w:val="000000"/>
          <w:sz w:val="24"/>
          <w:szCs w:val="24"/>
          <w:lang w:eastAsia="zh-CN"/>
        </w:rPr>
        <w:t>竞标</w:t>
      </w:r>
      <w:r>
        <w:rPr>
          <w:rFonts w:hint="eastAsia" w:hAnsi="宋体"/>
          <w:color w:val="000000"/>
          <w:sz w:val="24"/>
          <w:szCs w:val="24"/>
        </w:rPr>
        <w:t>文件要求，讨论、通过</w:t>
      </w:r>
      <w:r>
        <w:rPr>
          <w:rFonts w:hint="eastAsia" w:hAnsi="宋体"/>
          <w:color w:val="000000"/>
          <w:sz w:val="24"/>
          <w:szCs w:val="24"/>
          <w:lang w:eastAsia="zh-CN"/>
        </w:rPr>
        <w:t>竞标</w:t>
      </w:r>
      <w:r>
        <w:rPr>
          <w:rFonts w:hint="eastAsia" w:hAnsi="宋体"/>
          <w:color w:val="000000"/>
          <w:sz w:val="24"/>
          <w:szCs w:val="24"/>
        </w:rPr>
        <w:t>工作流程和</w:t>
      </w:r>
      <w:r>
        <w:rPr>
          <w:rFonts w:hint="eastAsia" w:hAnsi="宋体"/>
          <w:color w:val="000000"/>
          <w:sz w:val="24"/>
          <w:szCs w:val="24"/>
          <w:lang w:eastAsia="zh-CN"/>
        </w:rPr>
        <w:t>竞标</w:t>
      </w:r>
      <w:r>
        <w:rPr>
          <w:rFonts w:hint="eastAsia" w:hAnsi="宋体"/>
          <w:color w:val="000000"/>
          <w:sz w:val="24"/>
          <w:szCs w:val="24"/>
        </w:rPr>
        <w:t>要点。</w:t>
      </w:r>
    </w:p>
    <w:p w14:paraId="2B3C0159">
      <w:pPr>
        <w:pStyle w:val="21"/>
        <w:spacing w:line="400" w:lineRule="exact"/>
        <w:ind w:firstLine="480" w:firstLineChars="200"/>
        <w:rPr>
          <w:rFonts w:hAnsi="宋体"/>
          <w:color w:val="000000"/>
          <w:sz w:val="24"/>
          <w:szCs w:val="24"/>
        </w:rPr>
      </w:pPr>
      <w:r>
        <w:rPr>
          <w:rFonts w:hint="eastAsia" w:hAnsi="宋体"/>
          <w:sz w:val="24"/>
          <w:szCs w:val="24"/>
        </w:rPr>
        <w:t>4、</w:t>
      </w:r>
      <w:r>
        <w:rPr>
          <w:rFonts w:hint="eastAsia" w:hAnsi="宋体"/>
          <w:sz w:val="24"/>
          <w:szCs w:val="24"/>
          <w:lang w:eastAsia="zh-CN"/>
        </w:rPr>
        <w:t>竞标</w:t>
      </w:r>
      <w:r>
        <w:rPr>
          <w:rFonts w:hint="eastAsia" w:hAnsi="宋体"/>
          <w:sz w:val="24"/>
          <w:szCs w:val="24"/>
        </w:rPr>
        <w:t>单位按照签到顺序通知有效竞标人</w:t>
      </w:r>
      <w:r>
        <w:rPr>
          <w:rFonts w:hint="eastAsia" w:hAnsi="宋体"/>
          <w:sz w:val="24"/>
          <w:szCs w:val="24"/>
          <w:lang w:eastAsia="zh-CN"/>
        </w:rPr>
        <w:t>竞标</w:t>
      </w:r>
      <w:r>
        <w:rPr>
          <w:rFonts w:hint="eastAsia" w:hAnsi="宋体"/>
          <w:color w:val="000000"/>
          <w:sz w:val="24"/>
          <w:szCs w:val="24"/>
        </w:rPr>
        <w:t>。</w:t>
      </w:r>
    </w:p>
    <w:p w14:paraId="3194D87A">
      <w:pPr>
        <w:pStyle w:val="21"/>
        <w:spacing w:line="400" w:lineRule="exact"/>
        <w:ind w:firstLine="480" w:firstLineChars="200"/>
        <w:rPr>
          <w:rFonts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竞标</w:t>
      </w:r>
      <w:r>
        <w:rPr>
          <w:rFonts w:hint="eastAsia" w:hAnsi="宋体"/>
          <w:color w:val="000000"/>
          <w:sz w:val="24"/>
          <w:szCs w:val="24"/>
        </w:rPr>
        <w:t>要点，</w:t>
      </w:r>
      <w:r>
        <w:rPr>
          <w:rFonts w:hint="eastAsia" w:hAnsi="宋体"/>
          <w:color w:val="000000"/>
          <w:sz w:val="24"/>
          <w:szCs w:val="24"/>
          <w:lang w:eastAsia="zh-CN"/>
        </w:rPr>
        <w:t>竞标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竞标</w:t>
      </w:r>
      <w:r>
        <w:rPr>
          <w:rFonts w:hint="eastAsia" w:hAnsi="宋体"/>
          <w:color w:val="000000"/>
          <w:sz w:val="24"/>
          <w:szCs w:val="24"/>
        </w:rPr>
        <w:t>。逐家</w:t>
      </w:r>
      <w:r>
        <w:rPr>
          <w:rFonts w:hint="eastAsia" w:hAnsi="宋体"/>
          <w:color w:val="000000"/>
          <w:sz w:val="24"/>
          <w:szCs w:val="24"/>
          <w:lang w:eastAsia="zh-CN"/>
        </w:rPr>
        <w:t>竞标</w:t>
      </w:r>
      <w:r>
        <w:rPr>
          <w:rFonts w:hint="eastAsia" w:hAnsi="宋体"/>
          <w:color w:val="000000"/>
          <w:sz w:val="24"/>
          <w:szCs w:val="24"/>
        </w:rPr>
        <w:t>一次为一个轮次，</w:t>
      </w:r>
      <w:r>
        <w:rPr>
          <w:rFonts w:hint="eastAsia" w:hAnsi="宋体"/>
          <w:color w:val="000000"/>
          <w:sz w:val="24"/>
          <w:szCs w:val="24"/>
          <w:lang w:eastAsia="zh-CN"/>
        </w:rPr>
        <w:t>竞标</w:t>
      </w:r>
      <w:r>
        <w:rPr>
          <w:rFonts w:hint="eastAsia" w:hAnsi="宋体"/>
          <w:color w:val="000000"/>
          <w:sz w:val="24"/>
          <w:szCs w:val="24"/>
        </w:rPr>
        <w:t>轮次原则上为一轮，具体由</w:t>
      </w:r>
      <w:r>
        <w:rPr>
          <w:rFonts w:hint="eastAsia" w:hAnsi="宋体"/>
          <w:color w:val="000000"/>
          <w:sz w:val="24"/>
          <w:szCs w:val="24"/>
          <w:lang w:eastAsia="zh-CN"/>
        </w:rPr>
        <w:t>竞标</w:t>
      </w:r>
      <w:r>
        <w:rPr>
          <w:rFonts w:hint="eastAsia" w:hAnsi="宋体"/>
          <w:color w:val="000000"/>
          <w:sz w:val="24"/>
          <w:szCs w:val="24"/>
        </w:rPr>
        <w:t>小组视情况决定。</w:t>
      </w:r>
    </w:p>
    <w:p w14:paraId="4682EA7F">
      <w:pPr>
        <w:pStyle w:val="21"/>
        <w:spacing w:line="400" w:lineRule="exact"/>
        <w:ind w:firstLine="480" w:firstLineChars="200"/>
        <w:rPr>
          <w:rFonts w:hAnsi="宋体"/>
          <w:color w:val="000000"/>
          <w:sz w:val="24"/>
          <w:szCs w:val="24"/>
        </w:rPr>
      </w:pPr>
      <w:r>
        <w:rPr>
          <w:rFonts w:hint="eastAsia" w:hAnsi="宋体"/>
          <w:color w:val="000000"/>
          <w:sz w:val="24"/>
          <w:szCs w:val="24"/>
        </w:rPr>
        <w:t>6、</w:t>
      </w:r>
      <w:r>
        <w:rPr>
          <w:rFonts w:hint="eastAsia" w:hAnsi="宋体"/>
          <w:color w:val="000000"/>
          <w:sz w:val="24"/>
          <w:szCs w:val="24"/>
          <w:lang w:eastAsia="zh-CN"/>
        </w:rPr>
        <w:t>竞标</w:t>
      </w:r>
      <w:r>
        <w:rPr>
          <w:rFonts w:hint="eastAsia" w:hAnsi="宋体"/>
          <w:color w:val="000000"/>
          <w:sz w:val="24"/>
          <w:szCs w:val="24"/>
        </w:rPr>
        <w:t>文件有较大变动的，</w:t>
      </w:r>
      <w:r>
        <w:rPr>
          <w:rFonts w:hint="eastAsia" w:hAnsi="宋体"/>
          <w:color w:val="000000"/>
          <w:sz w:val="24"/>
          <w:szCs w:val="24"/>
          <w:lang w:eastAsia="zh-CN"/>
        </w:rPr>
        <w:t>竞标</w:t>
      </w:r>
      <w:r>
        <w:rPr>
          <w:rFonts w:hint="eastAsia" w:hAnsi="宋体"/>
          <w:color w:val="000000"/>
          <w:sz w:val="24"/>
          <w:szCs w:val="24"/>
        </w:rPr>
        <w:t>小组将以书面形式通知所有参加</w:t>
      </w:r>
      <w:r>
        <w:rPr>
          <w:rFonts w:hint="eastAsia" w:hAnsi="宋体"/>
          <w:color w:val="000000"/>
          <w:sz w:val="24"/>
          <w:szCs w:val="24"/>
          <w:lang w:eastAsia="zh-CN"/>
        </w:rPr>
        <w:t>竞标</w:t>
      </w:r>
      <w:r>
        <w:rPr>
          <w:rFonts w:hint="eastAsia" w:hAnsi="宋体"/>
          <w:color w:val="000000"/>
          <w:sz w:val="24"/>
          <w:szCs w:val="24"/>
        </w:rPr>
        <w:t>的竞标人。</w:t>
      </w:r>
    </w:p>
    <w:p w14:paraId="3905CB3A">
      <w:pPr>
        <w:spacing w:line="400" w:lineRule="exact"/>
        <w:rPr>
          <w:rFonts w:ascii="宋体" w:hAnsi="宋体"/>
          <w:b/>
          <w:sz w:val="24"/>
          <w:szCs w:val="24"/>
        </w:rPr>
      </w:pPr>
      <w:r>
        <w:rPr>
          <w:rFonts w:hint="eastAsia" w:hAnsi="宋体"/>
          <w:b/>
          <w:sz w:val="24"/>
          <w:szCs w:val="24"/>
        </w:rPr>
        <w:t>（二十四）</w:t>
      </w:r>
      <w:r>
        <w:rPr>
          <w:rFonts w:hint="eastAsia" w:ascii="宋体" w:hAnsi="宋体"/>
          <w:b/>
          <w:sz w:val="24"/>
          <w:szCs w:val="24"/>
        </w:rPr>
        <w:t>比较与评价</w:t>
      </w:r>
    </w:p>
    <w:p w14:paraId="6F828D37">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小组将按</w:t>
      </w:r>
      <w:r>
        <w:rPr>
          <w:rFonts w:hint="eastAsia" w:ascii="宋体" w:hAnsi="宋体"/>
          <w:sz w:val="24"/>
          <w:szCs w:val="24"/>
          <w:lang w:eastAsia="zh-CN"/>
        </w:rPr>
        <w:t>竞标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竞标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14:paraId="53EC1C3E">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14:paraId="1D6154AC">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五</w:t>
      </w:r>
      <w:r>
        <w:rPr>
          <w:rFonts w:hint="eastAsia" w:ascii="宋体" w:hAnsi="宋体"/>
          <w:b/>
          <w:sz w:val="24"/>
          <w:szCs w:val="24"/>
        </w:rPr>
        <w:t>）</w:t>
      </w:r>
      <w:r>
        <w:rPr>
          <w:rFonts w:hint="eastAsia" w:ascii="宋体" w:hAnsi="宋体"/>
          <w:b/>
          <w:sz w:val="24"/>
          <w:szCs w:val="24"/>
          <w:lang w:eastAsia="zh-CN"/>
        </w:rPr>
        <w:t>竞标</w:t>
      </w:r>
      <w:r>
        <w:rPr>
          <w:rFonts w:hint="eastAsia" w:ascii="宋体" w:hAnsi="宋体"/>
          <w:b/>
          <w:sz w:val="24"/>
          <w:szCs w:val="24"/>
        </w:rPr>
        <w:t>过程</w:t>
      </w:r>
      <w:bookmarkEnd w:id="4"/>
      <w:r>
        <w:rPr>
          <w:rFonts w:hint="eastAsia" w:ascii="宋体" w:hAnsi="宋体"/>
          <w:b/>
          <w:sz w:val="24"/>
          <w:szCs w:val="24"/>
        </w:rPr>
        <w:t>保密</w:t>
      </w:r>
    </w:p>
    <w:p w14:paraId="63E902D1">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在宣布成交结果之前，凡属于审查、澄清、评价、比较竞标文件等有关信息，相关当事人均不得泄露给任何竞标投标人或与竞标工作无关的人员。</w:t>
      </w:r>
    </w:p>
    <w:p w14:paraId="1FE7933A">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竞标投标人不得探听上述信息，不得以任何行为影响竞标</w:t>
      </w:r>
      <w:r>
        <w:rPr>
          <w:rFonts w:hint="eastAsia" w:ascii="宋体" w:hAnsi="宋体"/>
          <w:color w:val="000000"/>
          <w:sz w:val="24"/>
          <w:szCs w:val="24"/>
          <w:lang w:val="zh-CN"/>
        </w:rPr>
        <w:t>过程，否则其竞标文件将被作为无效竞标文件。</w:t>
      </w:r>
    </w:p>
    <w:p w14:paraId="7DCB2920">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在竞标期间，代理单位将有专门工作人员与竞标投标人进行联络。</w:t>
      </w:r>
    </w:p>
    <w:p w14:paraId="4F4EBF62">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代理单位和竞标小组不向未成交的竞标投标人解释未成交原因，也不对竞标过程中的细节问题进行公布。</w:t>
      </w:r>
    </w:p>
    <w:p w14:paraId="4A0447D3">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14:paraId="69272F3E">
      <w:pPr>
        <w:spacing w:line="400" w:lineRule="exact"/>
        <w:rPr>
          <w:rFonts w:ascii="宋体" w:hAnsi="宋体"/>
          <w:b/>
          <w:sz w:val="24"/>
          <w:szCs w:val="24"/>
        </w:rPr>
      </w:pPr>
      <w:r>
        <w:rPr>
          <w:rFonts w:hint="eastAsia" w:ascii="宋体" w:hAnsi="宋体"/>
          <w:b/>
          <w:sz w:val="24"/>
          <w:szCs w:val="24"/>
        </w:rPr>
        <w:t>（三十）评标办法</w:t>
      </w:r>
    </w:p>
    <w:p w14:paraId="06AEF010">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竞标</w:t>
      </w:r>
      <w:r>
        <w:rPr>
          <w:rFonts w:hint="eastAsia" w:ascii="宋体" w:hAnsi="宋体"/>
          <w:sz w:val="24"/>
        </w:rPr>
        <w:t>文件规定的标准和要求，对各投标文件进行评审，按有效投标人最终投标报价确定中选人。</w:t>
      </w:r>
    </w:p>
    <w:p w14:paraId="28AC67F1">
      <w:pPr>
        <w:jc w:val="center"/>
        <w:rPr>
          <w:rFonts w:ascii="宋体" w:hAnsi="宋体"/>
          <w:b/>
          <w:sz w:val="44"/>
          <w:szCs w:val="44"/>
        </w:rPr>
      </w:pPr>
    </w:p>
    <w:p w14:paraId="19D62829">
      <w:pPr>
        <w:jc w:val="center"/>
        <w:rPr>
          <w:rFonts w:ascii="宋体" w:hAnsi="宋体"/>
          <w:b/>
          <w:sz w:val="44"/>
          <w:szCs w:val="44"/>
        </w:rPr>
      </w:pPr>
    </w:p>
    <w:p w14:paraId="4232BC94">
      <w:pPr>
        <w:jc w:val="center"/>
        <w:rPr>
          <w:rFonts w:ascii="宋体" w:hAnsi="宋体"/>
          <w:b/>
          <w:sz w:val="44"/>
          <w:szCs w:val="44"/>
        </w:rPr>
      </w:pPr>
    </w:p>
    <w:p w14:paraId="7A921B0D">
      <w:pPr>
        <w:jc w:val="center"/>
        <w:rPr>
          <w:rFonts w:ascii="宋体" w:hAnsi="宋体"/>
          <w:b/>
          <w:sz w:val="44"/>
          <w:szCs w:val="44"/>
        </w:rPr>
      </w:pPr>
    </w:p>
    <w:p w14:paraId="176A1B57">
      <w:pPr>
        <w:jc w:val="center"/>
        <w:rPr>
          <w:rFonts w:ascii="宋体" w:hAnsi="宋体"/>
          <w:b/>
          <w:sz w:val="44"/>
          <w:szCs w:val="44"/>
        </w:rPr>
      </w:pPr>
    </w:p>
    <w:p w14:paraId="2DDD0C8C">
      <w:pPr>
        <w:jc w:val="center"/>
        <w:rPr>
          <w:rFonts w:ascii="宋体" w:hAnsi="宋体"/>
          <w:b/>
          <w:sz w:val="44"/>
          <w:szCs w:val="44"/>
        </w:rPr>
      </w:pPr>
    </w:p>
    <w:p w14:paraId="072BE881">
      <w:pPr>
        <w:jc w:val="center"/>
        <w:rPr>
          <w:rFonts w:ascii="宋体" w:hAnsi="宋体"/>
          <w:b/>
          <w:sz w:val="44"/>
          <w:szCs w:val="44"/>
        </w:rPr>
      </w:pPr>
    </w:p>
    <w:p w14:paraId="4B968975">
      <w:pPr>
        <w:jc w:val="center"/>
        <w:rPr>
          <w:rFonts w:ascii="宋体" w:hAnsi="宋体"/>
          <w:b/>
          <w:sz w:val="44"/>
          <w:szCs w:val="44"/>
        </w:rPr>
      </w:pPr>
    </w:p>
    <w:p w14:paraId="2F561E0B">
      <w:pPr>
        <w:jc w:val="center"/>
        <w:rPr>
          <w:rFonts w:ascii="宋体" w:hAnsi="宋体"/>
          <w:b/>
          <w:sz w:val="44"/>
          <w:szCs w:val="44"/>
        </w:rPr>
      </w:pPr>
    </w:p>
    <w:p w14:paraId="45F8B19D">
      <w:pPr>
        <w:jc w:val="center"/>
        <w:rPr>
          <w:rFonts w:ascii="宋体" w:hAnsi="宋体"/>
          <w:b/>
          <w:sz w:val="44"/>
          <w:szCs w:val="44"/>
        </w:rPr>
      </w:pPr>
    </w:p>
    <w:p w14:paraId="324CDE97">
      <w:pPr>
        <w:jc w:val="center"/>
        <w:rPr>
          <w:rFonts w:ascii="宋体" w:hAnsi="宋体"/>
          <w:b/>
          <w:sz w:val="44"/>
          <w:szCs w:val="44"/>
        </w:rPr>
      </w:pPr>
    </w:p>
    <w:p w14:paraId="361E9101">
      <w:pPr>
        <w:jc w:val="center"/>
        <w:rPr>
          <w:rFonts w:ascii="宋体" w:hAnsi="宋体"/>
          <w:b/>
          <w:sz w:val="44"/>
          <w:szCs w:val="44"/>
        </w:rPr>
      </w:pPr>
    </w:p>
    <w:p w14:paraId="30DD1874">
      <w:pPr>
        <w:jc w:val="center"/>
        <w:rPr>
          <w:rFonts w:ascii="宋体" w:hAnsi="宋体"/>
          <w:b/>
          <w:sz w:val="44"/>
          <w:szCs w:val="44"/>
        </w:rPr>
      </w:pPr>
    </w:p>
    <w:p w14:paraId="1EDD4B46">
      <w:pPr>
        <w:jc w:val="center"/>
        <w:rPr>
          <w:rFonts w:ascii="宋体" w:hAnsi="宋体"/>
          <w:b/>
          <w:sz w:val="44"/>
          <w:szCs w:val="44"/>
        </w:rPr>
      </w:pPr>
    </w:p>
    <w:p w14:paraId="3096A6DA">
      <w:pPr>
        <w:jc w:val="center"/>
        <w:rPr>
          <w:rFonts w:ascii="宋体" w:hAnsi="宋体"/>
          <w:b/>
          <w:sz w:val="44"/>
          <w:szCs w:val="44"/>
        </w:rPr>
      </w:pPr>
    </w:p>
    <w:p w14:paraId="7DAD5549">
      <w:pPr>
        <w:jc w:val="center"/>
        <w:rPr>
          <w:rFonts w:ascii="宋体" w:hAnsi="宋体"/>
          <w:b/>
          <w:sz w:val="44"/>
          <w:szCs w:val="44"/>
        </w:rPr>
      </w:pPr>
    </w:p>
    <w:p w14:paraId="13CC61BD">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14:paraId="49858446">
      <w:pPr>
        <w:spacing w:line="440" w:lineRule="exact"/>
        <w:rPr>
          <w:rFonts w:ascii="宋体" w:hAnsi="宋体"/>
          <w:b/>
          <w:sz w:val="24"/>
          <w:szCs w:val="24"/>
        </w:rPr>
      </w:pPr>
      <w:r>
        <w:rPr>
          <w:rFonts w:hint="eastAsia" w:ascii="宋体" w:hAnsi="宋体"/>
          <w:b/>
          <w:sz w:val="24"/>
          <w:szCs w:val="24"/>
        </w:rPr>
        <w:t>附件</w:t>
      </w:r>
    </w:p>
    <w:p w14:paraId="1B8356A0">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14:paraId="5A51305A">
      <w:pPr>
        <w:spacing w:line="600" w:lineRule="exact"/>
        <w:rPr>
          <w:rFonts w:ascii="仿宋_GB2312" w:eastAsia="仿宋_GB2312"/>
          <w:sz w:val="24"/>
          <w:szCs w:val="24"/>
        </w:rPr>
      </w:pPr>
      <w:r>
        <w:rPr>
          <w:rFonts w:hint="eastAsia" w:ascii="仿宋_GB2312" w:eastAsia="仿宋_GB2312"/>
          <w:sz w:val="28"/>
          <w:szCs w:val="28"/>
          <w:u w:val="single"/>
          <w:lang w:eastAsia="zh-CN"/>
        </w:rPr>
        <w:t>景德镇市国信物流仓储有限公司</w:t>
      </w:r>
      <w:r>
        <w:rPr>
          <w:rFonts w:hint="eastAsia" w:ascii="仿宋_GB2312" w:eastAsia="仿宋_GB2312"/>
          <w:sz w:val="24"/>
          <w:szCs w:val="24"/>
        </w:rPr>
        <w:t>：</w:t>
      </w:r>
    </w:p>
    <w:p w14:paraId="68B87371">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景德镇国控喜盈门建材家具广场建设项目室内环境检测</w:t>
      </w:r>
      <w:r>
        <w:rPr>
          <w:rFonts w:hint="eastAsia" w:ascii="仿宋_GB2312" w:eastAsia="仿宋_GB2312"/>
          <w:sz w:val="24"/>
          <w:szCs w:val="24"/>
        </w:rPr>
        <w:t>工程的委托招标活动并竞标，为此，我方郑重声明以下诸点，并负法律责任。</w:t>
      </w:r>
    </w:p>
    <w:p w14:paraId="717EF7DA">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14:paraId="1BC90941">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竞标</w:t>
      </w:r>
      <w:r>
        <w:rPr>
          <w:rFonts w:hint="eastAsia" w:ascii="仿宋_GB2312" w:eastAsia="仿宋_GB2312"/>
          <w:sz w:val="24"/>
          <w:szCs w:val="24"/>
        </w:rPr>
        <w:t>文件中规定的每项要求，并按我们竞标文件中的承诺按期、按质、按量交付使用方；</w:t>
      </w:r>
    </w:p>
    <w:p w14:paraId="4A5CCFD9">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14:paraId="21D78253">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竞标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竞标</w:t>
      </w:r>
      <w:r>
        <w:rPr>
          <w:rFonts w:hint="eastAsia" w:ascii="仿宋_GB2312" w:eastAsia="仿宋_GB2312"/>
          <w:sz w:val="24"/>
          <w:szCs w:val="24"/>
        </w:rPr>
        <w:t>的各项规定；</w:t>
      </w:r>
    </w:p>
    <w:p w14:paraId="0D27C564">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14:paraId="494FD61B">
      <w:pPr>
        <w:spacing w:line="600" w:lineRule="exact"/>
        <w:rPr>
          <w:rFonts w:ascii="仿宋_GB2312" w:eastAsia="仿宋_GB2312"/>
          <w:sz w:val="24"/>
          <w:szCs w:val="24"/>
        </w:rPr>
      </w:pPr>
    </w:p>
    <w:p w14:paraId="484BFA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14:paraId="32F498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14:paraId="77F3F455">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14:paraId="04127204">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14:paraId="04C247A7">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14:paraId="2BE16B6E">
      <w:pPr>
        <w:spacing w:line="600" w:lineRule="exact"/>
        <w:rPr>
          <w:rFonts w:ascii="仿宋_GB2312" w:eastAsia="仿宋_GB2312"/>
          <w:sz w:val="24"/>
          <w:szCs w:val="24"/>
        </w:rPr>
      </w:pPr>
    </w:p>
    <w:p w14:paraId="532887AD">
      <w:pPr>
        <w:spacing w:line="600" w:lineRule="exact"/>
        <w:rPr>
          <w:rFonts w:ascii="仿宋_GB2312" w:eastAsia="仿宋_GB2312"/>
          <w:sz w:val="24"/>
          <w:szCs w:val="24"/>
        </w:rPr>
      </w:pPr>
    </w:p>
    <w:p w14:paraId="0971507C">
      <w:pPr>
        <w:spacing w:line="600" w:lineRule="exact"/>
        <w:rPr>
          <w:rFonts w:ascii="仿宋_GB2312" w:eastAsia="仿宋_GB2312"/>
          <w:sz w:val="24"/>
          <w:szCs w:val="24"/>
        </w:rPr>
      </w:pPr>
    </w:p>
    <w:p w14:paraId="619EB0AF">
      <w:pPr>
        <w:spacing w:line="600" w:lineRule="exact"/>
        <w:rPr>
          <w:rFonts w:ascii="仿宋_GB2312" w:eastAsia="仿宋_GB2312"/>
          <w:sz w:val="24"/>
          <w:szCs w:val="24"/>
        </w:rPr>
      </w:pPr>
    </w:p>
    <w:p w14:paraId="154FEDCA">
      <w:pPr>
        <w:spacing w:line="600" w:lineRule="exact"/>
        <w:rPr>
          <w:rFonts w:ascii="仿宋_GB2312" w:eastAsia="仿宋_GB2312"/>
          <w:sz w:val="24"/>
          <w:szCs w:val="24"/>
        </w:rPr>
      </w:pPr>
    </w:p>
    <w:p w14:paraId="2F5C8CA0">
      <w:pPr>
        <w:spacing w:line="560" w:lineRule="exact"/>
        <w:rPr>
          <w:rFonts w:ascii="宋体" w:hAnsi="宋体"/>
          <w:b/>
          <w:sz w:val="24"/>
          <w:szCs w:val="24"/>
        </w:rPr>
      </w:pPr>
      <w:r>
        <w:rPr>
          <w:rFonts w:hint="eastAsia" w:ascii="宋体" w:hAnsi="宋体"/>
          <w:b/>
          <w:sz w:val="24"/>
          <w:szCs w:val="24"/>
        </w:rPr>
        <w:t>附件</w:t>
      </w:r>
    </w:p>
    <w:p w14:paraId="70BFFFE8">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14:paraId="540F59BF">
      <w:pPr>
        <w:spacing w:line="560" w:lineRule="exact"/>
        <w:rPr>
          <w:rFonts w:ascii="仿宋_GB2312" w:eastAsia="仿宋_GB2312"/>
          <w:sz w:val="24"/>
          <w:szCs w:val="24"/>
        </w:rPr>
      </w:pPr>
    </w:p>
    <w:p w14:paraId="0841A297">
      <w:pPr>
        <w:spacing w:line="360" w:lineRule="auto"/>
        <w:rPr>
          <w:rFonts w:ascii="仿宋_GB2312" w:eastAsia="仿宋_GB2312"/>
          <w:sz w:val="24"/>
          <w:szCs w:val="24"/>
        </w:rPr>
      </w:pPr>
      <w:r>
        <w:rPr>
          <w:rFonts w:hint="eastAsia" w:ascii="仿宋_GB2312" w:eastAsia="仿宋_GB2312"/>
          <w:sz w:val="28"/>
          <w:szCs w:val="28"/>
          <w:u w:val="single"/>
          <w:lang w:eastAsia="zh-CN"/>
        </w:rPr>
        <w:t>景德镇市国信物流仓储有限公司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14:paraId="28F8029B">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lang w:eastAsia="zh-CN"/>
        </w:rPr>
        <w:t>竞标</w:t>
      </w:r>
      <w:r>
        <w:rPr>
          <w:rFonts w:hint="eastAsia" w:ascii="仿宋_GB2312" w:eastAsia="仿宋_GB2312"/>
          <w:sz w:val="24"/>
          <w:szCs w:val="24"/>
        </w:rPr>
        <w:t>活动的一切事宜。</w:t>
      </w:r>
    </w:p>
    <w:p w14:paraId="3839C913">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14:paraId="5E9C3ED7">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14:paraId="6E25F849">
      <w:pPr>
        <w:spacing w:line="360" w:lineRule="auto"/>
        <w:ind w:firstLine="480" w:firstLineChars="200"/>
        <w:rPr>
          <w:rFonts w:ascii="仿宋_GB2312" w:eastAsia="仿宋_GB2312"/>
          <w:sz w:val="24"/>
          <w:szCs w:val="24"/>
        </w:rPr>
      </w:pPr>
    </w:p>
    <w:p w14:paraId="5757E20C">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14:paraId="2C0BD124">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14:paraId="0A0F2556">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14:paraId="10217D4F">
      <w:pPr>
        <w:spacing w:line="360" w:lineRule="auto"/>
        <w:rPr>
          <w:rFonts w:ascii="仿宋_GB2312" w:eastAsia="仿宋_GB2312"/>
          <w:sz w:val="24"/>
          <w:szCs w:val="24"/>
        </w:rPr>
      </w:pPr>
    </w:p>
    <w:p w14:paraId="39F74269">
      <w:pPr>
        <w:spacing w:line="560" w:lineRule="exact"/>
        <w:rPr>
          <w:rFonts w:ascii="仿宋_GB2312" w:eastAsia="仿宋_GB2312"/>
          <w:sz w:val="24"/>
          <w:szCs w:val="24"/>
        </w:rPr>
      </w:pPr>
    </w:p>
    <w:p w14:paraId="4DBA2E2C">
      <w:pPr>
        <w:spacing w:line="560" w:lineRule="exact"/>
        <w:rPr>
          <w:rFonts w:ascii="仿宋_GB2312" w:eastAsia="仿宋_GB2312"/>
          <w:sz w:val="24"/>
          <w:szCs w:val="24"/>
        </w:rPr>
      </w:pPr>
    </w:p>
    <w:p w14:paraId="4613F610">
      <w:pPr>
        <w:spacing w:line="560" w:lineRule="exact"/>
        <w:rPr>
          <w:rFonts w:ascii="仿宋_GB2312" w:eastAsia="仿宋_GB2312"/>
          <w:sz w:val="24"/>
          <w:szCs w:val="24"/>
        </w:rPr>
      </w:pPr>
    </w:p>
    <w:p w14:paraId="700585D2">
      <w:pPr>
        <w:spacing w:line="560" w:lineRule="exact"/>
        <w:rPr>
          <w:rFonts w:ascii="仿宋_GB2312" w:eastAsia="仿宋_GB2312"/>
          <w:sz w:val="24"/>
          <w:szCs w:val="24"/>
        </w:rPr>
      </w:pPr>
    </w:p>
    <w:p w14:paraId="2820BA50">
      <w:pPr>
        <w:spacing w:line="560" w:lineRule="exact"/>
        <w:rPr>
          <w:rFonts w:ascii="仿宋_GB2312" w:eastAsia="仿宋_GB2312"/>
          <w:sz w:val="24"/>
          <w:szCs w:val="24"/>
        </w:rPr>
      </w:pPr>
    </w:p>
    <w:p w14:paraId="7FCE7800">
      <w:pPr>
        <w:spacing w:line="560" w:lineRule="exact"/>
        <w:rPr>
          <w:rFonts w:ascii="仿宋_GB2312" w:eastAsia="仿宋_GB2312"/>
          <w:sz w:val="24"/>
          <w:szCs w:val="24"/>
        </w:rPr>
      </w:pPr>
    </w:p>
    <w:p w14:paraId="5DBB0914">
      <w:pPr>
        <w:spacing w:line="560" w:lineRule="exact"/>
        <w:rPr>
          <w:rFonts w:ascii="仿宋_GB2312" w:eastAsia="仿宋_GB2312"/>
          <w:sz w:val="24"/>
          <w:szCs w:val="24"/>
        </w:rPr>
      </w:pPr>
    </w:p>
    <w:p w14:paraId="7C5DE723">
      <w:pPr>
        <w:spacing w:line="560" w:lineRule="exact"/>
        <w:rPr>
          <w:rFonts w:ascii="仿宋_GB2312" w:eastAsia="仿宋_GB2312"/>
          <w:sz w:val="24"/>
          <w:szCs w:val="24"/>
        </w:rPr>
      </w:pPr>
    </w:p>
    <w:p w14:paraId="5A0E3176">
      <w:pPr>
        <w:spacing w:line="560" w:lineRule="exact"/>
        <w:rPr>
          <w:rFonts w:ascii="仿宋_GB2312" w:eastAsia="仿宋_GB2312"/>
          <w:sz w:val="24"/>
          <w:szCs w:val="24"/>
        </w:rPr>
      </w:pPr>
    </w:p>
    <w:p w14:paraId="4FE5FD98">
      <w:pPr>
        <w:spacing w:line="560" w:lineRule="exact"/>
        <w:rPr>
          <w:rFonts w:ascii="仿宋_GB2312" w:eastAsia="仿宋_GB2312"/>
          <w:sz w:val="24"/>
          <w:szCs w:val="24"/>
        </w:rPr>
      </w:pPr>
    </w:p>
    <w:p w14:paraId="28CD4CE5">
      <w:pPr>
        <w:spacing w:line="560" w:lineRule="exact"/>
        <w:rPr>
          <w:rFonts w:ascii="仿宋_GB2312" w:eastAsia="仿宋_GB2312"/>
          <w:sz w:val="24"/>
          <w:szCs w:val="24"/>
        </w:rPr>
      </w:pPr>
    </w:p>
    <w:p w14:paraId="2A73D51D">
      <w:pPr>
        <w:spacing w:line="560" w:lineRule="exact"/>
        <w:rPr>
          <w:rFonts w:ascii="仿宋_GB2312" w:eastAsia="仿宋_GB2312"/>
          <w:sz w:val="24"/>
          <w:szCs w:val="24"/>
        </w:rPr>
      </w:pPr>
    </w:p>
    <w:p w14:paraId="0250D3C9">
      <w:pPr>
        <w:widowControl/>
        <w:topLinePunct/>
        <w:spacing w:before="4" w:line="360" w:lineRule="auto"/>
        <w:rPr>
          <w:rFonts w:eastAsia="仿宋_GB2312"/>
          <w:sz w:val="24"/>
          <w:szCs w:val="24"/>
        </w:rPr>
      </w:pPr>
    </w:p>
    <w:p w14:paraId="434CECD8">
      <w:pPr>
        <w:spacing w:line="440" w:lineRule="exact"/>
      </w:pPr>
    </w:p>
    <w:p w14:paraId="424B181E">
      <w:pPr>
        <w:spacing w:line="440" w:lineRule="exact"/>
      </w:pPr>
    </w:p>
    <w:sectPr>
      <w:headerReference r:id="rId6" w:type="default"/>
      <w:footerReference r:id="rId7" w:type="default"/>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AMGDT"/>
    <w:panose1 w:val="00000000000000000000"/>
    <w:charset w:val="00"/>
    <w:family w:val="roman"/>
    <w:pitch w:val="default"/>
    <w:sig w:usb0="00000000" w:usb1="0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 w:name="AMGDT">
    <w:panose1 w:val="02000400000000000000"/>
    <w:charset w:val="00"/>
    <w:family w:val="auto"/>
    <w:pitch w:val="default"/>
    <w:sig w:usb0="80000003" w:usb1="1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5D3C4">
    <w:pPr>
      <w:pStyle w:val="25"/>
      <w:framePr w:wrap="around" w:vAnchor="text" w:hAnchor="margin" w:xAlign="center" w:yAlign="top"/>
      <w:rPr>
        <w:rStyle w:val="38"/>
      </w:rPr>
    </w:pPr>
    <w:r>
      <w:fldChar w:fldCharType="begin"/>
    </w:r>
    <w:r>
      <w:rPr>
        <w:rStyle w:val="38"/>
      </w:rPr>
      <w:instrText xml:space="preserve">PAGE  </w:instrText>
    </w:r>
    <w:r>
      <w:fldChar w:fldCharType="separate"/>
    </w:r>
    <w:r>
      <w:rPr>
        <w:rStyle w:val="38"/>
      </w:rPr>
      <w:t>2</w:t>
    </w:r>
    <w:r>
      <w:fldChar w:fldCharType="end"/>
    </w:r>
  </w:p>
  <w:p w14:paraId="2C9EF4D7">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B2E67">
    <w:pPr>
      <w:pStyle w:val="25"/>
      <w:framePr w:wrap="around" w:vAnchor="text" w:hAnchor="margin" w:xAlign="center" w:yAlign="top"/>
      <w:rPr>
        <w:rStyle w:val="38"/>
      </w:rPr>
    </w:pPr>
    <w:r>
      <w:fldChar w:fldCharType="begin"/>
    </w:r>
    <w:r>
      <w:rPr>
        <w:rStyle w:val="38"/>
      </w:rPr>
      <w:instrText xml:space="preserve">PAGE  </w:instrText>
    </w:r>
    <w:r>
      <w:fldChar w:fldCharType="separate"/>
    </w:r>
    <w:r>
      <w:fldChar w:fldCharType="end"/>
    </w:r>
  </w:p>
  <w:p w14:paraId="09B52406">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AEADA">
    <w:pPr>
      <w:pStyle w:val="25"/>
      <w:framePr w:wrap="around" w:vAnchor="text" w:hAnchor="margin" w:xAlign="center" w:yAlign="top"/>
      <w:rPr>
        <w:rStyle w:val="38"/>
      </w:rPr>
    </w:pPr>
    <w:r>
      <w:fldChar w:fldCharType="begin"/>
    </w:r>
    <w:r>
      <w:rPr>
        <w:rStyle w:val="38"/>
      </w:rPr>
      <w:instrText xml:space="preserve">PAGE  </w:instrText>
    </w:r>
    <w:r>
      <w:fldChar w:fldCharType="separate"/>
    </w:r>
    <w:r>
      <w:rPr>
        <w:rStyle w:val="38"/>
      </w:rPr>
      <w:t>2</w:t>
    </w:r>
    <w:r>
      <w:fldChar w:fldCharType="end"/>
    </w:r>
  </w:p>
  <w:p w14:paraId="01625A5E">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9E156">
    <w:pPr>
      <w:pStyle w:val="26"/>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CFD19">
    <w:pPr>
      <w:pStyle w:val="26"/>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0688B"/>
    <w:rsid w:val="00313CF8"/>
    <w:rsid w:val="003E032D"/>
    <w:rsid w:val="003F66AA"/>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81E79F8"/>
    <w:rsid w:val="085F679A"/>
    <w:rsid w:val="0914518E"/>
    <w:rsid w:val="0C2D3516"/>
    <w:rsid w:val="0D874D64"/>
    <w:rsid w:val="10622F46"/>
    <w:rsid w:val="139601CD"/>
    <w:rsid w:val="163313D0"/>
    <w:rsid w:val="19FE1B00"/>
    <w:rsid w:val="1CFA78C7"/>
    <w:rsid w:val="1D074FE0"/>
    <w:rsid w:val="1D355134"/>
    <w:rsid w:val="2538122F"/>
    <w:rsid w:val="26524173"/>
    <w:rsid w:val="276B4547"/>
    <w:rsid w:val="27A0677D"/>
    <w:rsid w:val="28022A74"/>
    <w:rsid w:val="2A174676"/>
    <w:rsid w:val="2CBC1DC3"/>
    <w:rsid w:val="2E9C05B3"/>
    <w:rsid w:val="2F5E4E35"/>
    <w:rsid w:val="2F7B180E"/>
    <w:rsid w:val="31422505"/>
    <w:rsid w:val="32270DB0"/>
    <w:rsid w:val="327A56DF"/>
    <w:rsid w:val="333F2992"/>
    <w:rsid w:val="346F7832"/>
    <w:rsid w:val="395D5419"/>
    <w:rsid w:val="3B8C2631"/>
    <w:rsid w:val="3CC3270A"/>
    <w:rsid w:val="3D905866"/>
    <w:rsid w:val="3DC72016"/>
    <w:rsid w:val="40515B46"/>
    <w:rsid w:val="41A46DE7"/>
    <w:rsid w:val="44575FB2"/>
    <w:rsid w:val="474C7B15"/>
    <w:rsid w:val="47EF0ED9"/>
    <w:rsid w:val="48D22EEA"/>
    <w:rsid w:val="4B340EC0"/>
    <w:rsid w:val="4BFF2C2B"/>
    <w:rsid w:val="4C2608F4"/>
    <w:rsid w:val="4C7C4CE8"/>
    <w:rsid w:val="4CE63D97"/>
    <w:rsid w:val="4E03024D"/>
    <w:rsid w:val="51F40CBB"/>
    <w:rsid w:val="52DA0035"/>
    <w:rsid w:val="59DC694C"/>
    <w:rsid w:val="5A053A32"/>
    <w:rsid w:val="5C2D1277"/>
    <w:rsid w:val="5D2D429B"/>
    <w:rsid w:val="603241CD"/>
    <w:rsid w:val="6049287C"/>
    <w:rsid w:val="607C7332"/>
    <w:rsid w:val="62C35499"/>
    <w:rsid w:val="66494AD9"/>
    <w:rsid w:val="66EA3071"/>
    <w:rsid w:val="66FF2716"/>
    <w:rsid w:val="698A0647"/>
    <w:rsid w:val="6A387350"/>
    <w:rsid w:val="6F3A2D14"/>
    <w:rsid w:val="6FF87C8B"/>
    <w:rsid w:val="735C2543"/>
    <w:rsid w:val="74190561"/>
    <w:rsid w:val="78CE4886"/>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link w:val="43"/>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rFonts w:eastAsia="黑体"/>
      <w:b/>
      <w:sz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7">
    <w:name w:val="heading 5"/>
    <w:basedOn w:val="1"/>
    <w:next w:val="1"/>
    <w:qFormat/>
    <w:uiPriority w:val="0"/>
    <w:pPr>
      <w:keepNext/>
      <w:keepLines/>
      <w:spacing w:before="280" w:after="290" w:line="374" w:lineRule="auto"/>
      <w:outlineLvl w:val="4"/>
    </w:pPr>
    <w:rPr>
      <w:rFonts w:eastAsia="黑体"/>
      <w:b/>
      <w:sz w:val="28"/>
    </w:rPr>
  </w:style>
  <w:style w:type="paragraph" w:styleId="8">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9">
    <w:name w:val="heading 7"/>
    <w:basedOn w:val="1"/>
    <w:next w:val="1"/>
    <w:qFormat/>
    <w:uiPriority w:val="0"/>
    <w:pPr>
      <w:keepNext/>
      <w:keepLines/>
      <w:spacing w:before="240" w:after="64" w:line="319" w:lineRule="auto"/>
      <w:outlineLvl w:val="6"/>
    </w:pPr>
    <w:rPr>
      <w:b/>
      <w:sz w:val="24"/>
    </w:rPr>
  </w:style>
  <w:style w:type="paragraph" w:styleId="10">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1">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2">
    <w:name w:val="Normal Indent"/>
    <w:basedOn w:val="1"/>
    <w:qFormat/>
    <w:uiPriority w:val="0"/>
    <w:pPr>
      <w:spacing w:after="120"/>
      <w:ind w:firstLine="420"/>
    </w:pPr>
  </w:style>
  <w:style w:type="paragraph" w:styleId="13">
    <w:name w:val="Document Map"/>
    <w:basedOn w:val="1"/>
    <w:qFormat/>
    <w:uiPriority w:val="0"/>
    <w:pPr>
      <w:shd w:val="clear" w:color="auto" w:fill="000080"/>
    </w:pPr>
  </w:style>
  <w:style w:type="paragraph" w:styleId="14">
    <w:name w:val="annotation text"/>
    <w:basedOn w:val="1"/>
    <w:qFormat/>
    <w:uiPriority w:val="0"/>
    <w:pPr>
      <w:jc w:val="left"/>
    </w:pPr>
  </w:style>
  <w:style w:type="paragraph" w:styleId="15">
    <w:name w:val="Body Text 3"/>
    <w:basedOn w:val="1"/>
    <w:qFormat/>
    <w:uiPriority w:val="0"/>
    <w:rPr>
      <w:rFonts w:ascii="宋体"/>
      <w:sz w:val="24"/>
    </w:rPr>
  </w:style>
  <w:style w:type="paragraph" w:styleId="16">
    <w:name w:val="Body Text"/>
    <w:basedOn w:val="1"/>
    <w:qFormat/>
    <w:uiPriority w:val="0"/>
    <w:pPr>
      <w:spacing w:line="60" w:lineRule="auto"/>
    </w:pPr>
    <w:rPr>
      <w:rFonts w:ascii="仿宋_GB2312" w:eastAsia="仿宋_GB2312"/>
      <w:sz w:val="32"/>
    </w:rPr>
  </w:style>
  <w:style w:type="paragraph" w:styleId="17">
    <w:name w:val="Body Text Indent"/>
    <w:basedOn w:val="1"/>
    <w:qFormat/>
    <w:uiPriority w:val="0"/>
    <w:pPr>
      <w:ind w:firstLine="720" w:firstLineChars="225"/>
    </w:pPr>
    <w:rPr>
      <w:rFonts w:ascii="仿宋_GB2312" w:eastAsia="仿宋_GB2312"/>
      <w:sz w:val="32"/>
    </w:rPr>
  </w:style>
  <w:style w:type="paragraph" w:styleId="18">
    <w:name w:val="Block Text"/>
    <w:basedOn w:val="1"/>
    <w:qFormat/>
    <w:uiPriority w:val="0"/>
    <w:pPr>
      <w:adjustRightInd w:val="0"/>
      <w:ind w:left="420" w:right="33"/>
      <w:jc w:val="left"/>
    </w:pPr>
    <w:rPr>
      <w:kern w:val="0"/>
      <w:sz w:val="24"/>
    </w:rPr>
  </w:style>
  <w:style w:type="paragraph" w:styleId="19">
    <w:name w:val="toc 5"/>
    <w:basedOn w:val="1"/>
    <w:next w:val="1"/>
    <w:qFormat/>
    <w:uiPriority w:val="0"/>
    <w:pPr>
      <w:ind w:left="1680" w:leftChars="800"/>
    </w:pPr>
  </w:style>
  <w:style w:type="paragraph" w:styleId="20">
    <w:name w:val="toc 3"/>
    <w:basedOn w:val="1"/>
    <w:next w:val="1"/>
    <w:qFormat/>
    <w:uiPriority w:val="0"/>
    <w:pPr>
      <w:ind w:left="840" w:leftChars="400"/>
    </w:pPr>
  </w:style>
  <w:style w:type="paragraph" w:styleId="21">
    <w:name w:val="Plain Text"/>
    <w:basedOn w:val="1"/>
    <w:qFormat/>
    <w:uiPriority w:val="0"/>
    <w:rPr>
      <w:rFonts w:ascii="宋体" w:hAnsi="Courier New"/>
    </w:rPr>
  </w:style>
  <w:style w:type="paragraph" w:styleId="22">
    <w:name w:val="Date"/>
    <w:basedOn w:val="1"/>
    <w:next w:val="1"/>
    <w:qFormat/>
    <w:uiPriority w:val="0"/>
    <w:pPr>
      <w:ind w:left="100" w:leftChars="2500"/>
    </w:pPr>
  </w:style>
  <w:style w:type="paragraph" w:styleId="23">
    <w:name w:val="Body Text Indent 2"/>
    <w:basedOn w:val="1"/>
    <w:qFormat/>
    <w:uiPriority w:val="0"/>
    <w:pPr>
      <w:spacing w:line="540" w:lineRule="exact"/>
      <w:ind w:firstLine="720" w:firstLineChars="225"/>
      <w:jc w:val="left"/>
    </w:pPr>
    <w:rPr>
      <w:rFonts w:ascii="仿宋_GB2312" w:eastAsia="仿宋_GB2312"/>
      <w:sz w:val="32"/>
    </w:rPr>
  </w:style>
  <w:style w:type="paragraph" w:styleId="24">
    <w:name w:val="Balloon Text"/>
    <w:basedOn w:val="1"/>
    <w:qFormat/>
    <w:uiPriority w:val="0"/>
    <w:rPr>
      <w:sz w:val="18"/>
    </w:rPr>
  </w:style>
  <w:style w:type="paragraph" w:styleId="25">
    <w:name w:val="footer"/>
    <w:basedOn w:val="1"/>
    <w:qFormat/>
    <w:uiPriority w:val="0"/>
    <w:pPr>
      <w:tabs>
        <w:tab w:val="center" w:pos="4153"/>
        <w:tab w:val="right" w:pos="8306"/>
      </w:tabs>
      <w:snapToGrid w:val="0"/>
      <w:jc w:val="left"/>
    </w:pPr>
    <w:rPr>
      <w:sz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rPr>
  </w:style>
  <w:style w:type="paragraph" w:styleId="27">
    <w:name w:val="toc 1"/>
    <w:basedOn w:val="1"/>
    <w:next w:val="1"/>
    <w:qFormat/>
    <w:uiPriority w:val="0"/>
    <w:pPr>
      <w:tabs>
        <w:tab w:val="right" w:leader="dot" w:pos="8296"/>
      </w:tabs>
      <w:spacing w:line="440" w:lineRule="exact"/>
    </w:pPr>
  </w:style>
  <w:style w:type="paragraph" w:styleId="28">
    <w:name w:val="Body Text Indent 3"/>
    <w:basedOn w:val="1"/>
    <w:qFormat/>
    <w:uiPriority w:val="0"/>
    <w:pPr>
      <w:ind w:firstLine="639" w:firstLineChars="213"/>
    </w:pPr>
    <w:rPr>
      <w:rFonts w:ascii="仿宋_GB2312" w:eastAsia="仿宋_GB2312"/>
      <w:sz w:val="30"/>
    </w:rPr>
  </w:style>
  <w:style w:type="paragraph" w:styleId="29">
    <w:name w:val="toc 2"/>
    <w:basedOn w:val="1"/>
    <w:next w:val="1"/>
    <w:qFormat/>
    <w:uiPriority w:val="0"/>
    <w:pPr>
      <w:ind w:left="420" w:leftChars="200"/>
    </w:pPr>
  </w:style>
  <w:style w:type="paragraph" w:styleId="30">
    <w:name w:val="Body Text 2"/>
    <w:basedOn w:val="1"/>
    <w:qFormat/>
    <w:uiPriority w:val="0"/>
    <w:pPr>
      <w:spacing w:line="560" w:lineRule="exact"/>
    </w:pPr>
    <w:rPr>
      <w:rFonts w:ascii="仿宋_GB2312" w:eastAsia="仿宋_GB2312"/>
      <w:sz w:val="30"/>
    </w:rPr>
  </w:style>
  <w:style w:type="paragraph" w:styleId="31">
    <w:name w:val="Normal (Web)"/>
    <w:basedOn w:val="1"/>
    <w:qFormat/>
    <w:uiPriority w:val="0"/>
    <w:pPr>
      <w:widowControl/>
      <w:spacing w:before="100" w:beforeAutospacing="1" w:after="100" w:afterAutospacing="1"/>
      <w:jc w:val="left"/>
    </w:pPr>
    <w:rPr>
      <w:rFonts w:ascii="宋体" w:hAnsi="宋体"/>
      <w:kern w:val="0"/>
      <w:sz w:val="24"/>
    </w:rPr>
  </w:style>
  <w:style w:type="paragraph" w:styleId="32">
    <w:name w:val="index 1"/>
    <w:basedOn w:val="1"/>
    <w:next w:val="1"/>
    <w:qFormat/>
    <w:uiPriority w:val="0"/>
    <w:pPr>
      <w:spacing w:line="220" w:lineRule="exact"/>
      <w:jc w:val="center"/>
    </w:pPr>
    <w:rPr>
      <w:rFonts w:ascii="仿宋_GB2312" w:eastAsia="仿宋_GB2312"/>
    </w:rPr>
  </w:style>
  <w:style w:type="paragraph" w:styleId="33">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4">
    <w:name w:val="annotation subject"/>
    <w:basedOn w:val="14"/>
    <w:next w:val="14"/>
    <w:qFormat/>
    <w:uiPriority w:val="0"/>
    <w:rPr>
      <w:b/>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qFormat/>
    <w:uiPriority w:val="0"/>
  </w:style>
  <w:style w:type="character" w:styleId="39">
    <w:name w:val="FollowedHyperlink"/>
    <w:qFormat/>
    <w:uiPriority w:val="0"/>
    <w:rPr>
      <w:color w:val="800080"/>
      <w:u w:val="single"/>
    </w:rPr>
  </w:style>
  <w:style w:type="character" w:styleId="40">
    <w:name w:val="Hyperlink"/>
    <w:qFormat/>
    <w:uiPriority w:val="0"/>
    <w:rPr>
      <w:color w:val="0000FF"/>
      <w:u w:val="single"/>
    </w:rPr>
  </w:style>
  <w:style w:type="character" w:styleId="41">
    <w:name w:val="annotation reference"/>
    <w:qFormat/>
    <w:uiPriority w:val="0"/>
    <w:rPr>
      <w:sz w:val="21"/>
    </w:rPr>
  </w:style>
  <w:style w:type="paragraph" w:customStyle="1" w:styleId="42">
    <w:name w:val="Char Char Char"/>
    <w:basedOn w:val="1"/>
    <w:qFormat/>
    <w:uiPriority w:val="0"/>
  </w:style>
  <w:style w:type="character" w:customStyle="1" w:styleId="43">
    <w:name w:val="标题 2 字符"/>
    <w:link w:val="4"/>
    <w:qFormat/>
    <w:uiPriority w:val="0"/>
    <w:rPr>
      <w:rFonts w:ascii="Arial" w:hAnsi="Arial" w:eastAsia="黑体"/>
      <w:b/>
      <w:kern w:val="2"/>
      <w:sz w:val="32"/>
      <w:lang w:val="en-US" w:eastAsia="zh-CN" w:bidi="ar-SA"/>
    </w:rPr>
  </w:style>
  <w:style w:type="character" w:customStyle="1" w:styleId="44">
    <w:name w:val="font161"/>
    <w:qFormat/>
    <w:uiPriority w:val="0"/>
    <w:rPr>
      <w:b/>
      <w:sz w:val="32"/>
    </w:rPr>
  </w:style>
  <w:style w:type="paragraph" w:customStyle="1" w:styleId="45">
    <w:name w:val="Char"/>
    <w:basedOn w:val="1"/>
    <w:qFormat/>
    <w:uiPriority w:val="0"/>
    <w:rPr>
      <w:rFonts w:ascii="Tahoma" w:hAnsi="Tahoma"/>
      <w:sz w:val="24"/>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Char1"/>
    <w:basedOn w:val="1"/>
    <w:qFormat/>
    <w:uiPriority w:val="0"/>
    <w:pPr>
      <w:tabs>
        <w:tab w:val="left" w:pos="360"/>
      </w:tabs>
    </w:pPr>
    <w:rPr>
      <w:sz w:val="24"/>
    </w:rPr>
  </w:style>
  <w:style w:type="paragraph" w:customStyle="1" w:styleId="48">
    <w:name w:val="1"/>
    <w:basedOn w:val="1"/>
    <w:next w:val="1"/>
    <w:qFormat/>
    <w:uiPriority w:val="0"/>
  </w:style>
  <w:style w:type="paragraph" w:customStyle="1" w:styleId="49">
    <w:name w:val="Char Char Char Char Char Char Char Char Char Char"/>
    <w:basedOn w:val="1"/>
    <w:qFormat/>
    <w:uiPriority w:val="0"/>
    <w:rPr>
      <w:rFonts w:ascii="Tahoma" w:hAnsi="Tahoma"/>
      <w:sz w:val="24"/>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4"/>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3"/>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5"/>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 w:type="paragraph" w:styleId="65">
    <w:name w:val="No Spacing"/>
    <w:basedOn w:val="1"/>
    <w:qFormat/>
    <w:uiPriority w:val="1"/>
    <w:pPr>
      <w:spacing w:after="0" w:line="240" w:lineRule="auto"/>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6AEFA-CF02-4DF1-AFF7-B91C743179E1}">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4918</Words>
  <Characters>5017</Characters>
  <Lines>42</Lines>
  <Paragraphs>12</Paragraphs>
  <TotalTime>0</TotalTime>
  <ScaleCrop>false</ScaleCrop>
  <LinksUpToDate>false</LinksUpToDate>
  <CharactersWithSpaces>5550</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染血白兔</cp:lastModifiedBy>
  <cp:lastPrinted>2021-09-22T07:27:00Z</cp:lastPrinted>
  <dcterms:modified xsi:type="dcterms:W3CDTF">2024-10-30T02:56:25Z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1317C9C72E6040BEB4ADEBCD2AF02C07</vt:lpwstr>
  </property>
</Properties>
</file>