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522" w:firstLineChars="249"/>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default" w:ascii="宋体-方正超大字符集" w:hAnsi="STKaiti" w:eastAsia="宋体-方正超大字符集"/>
          <w:sz w:val="32"/>
          <w:szCs w:val="32"/>
          <w:u w:val="single"/>
          <w:lang w:eastAsia="zh-CN"/>
        </w:rPr>
        <w:t>景德镇佛手湖陶瓷文化旅游景区建设项目（一期）</w:t>
      </w:r>
      <w:r>
        <w:rPr>
          <w:rFonts w:hint="eastAsia" w:ascii="宋体-方正超大字符集" w:hAnsi="STKaiti" w:eastAsia="宋体-方正超大字符集"/>
          <w:sz w:val="32"/>
          <w:szCs w:val="32"/>
          <w:u w:val="single"/>
        </w:rPr>
        <w:t>竣工档案资料服务</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bookmarkStart w:id="8" w:name="_GoBack"/>
      <w:bookmarkEnd w:id="8"/>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竣工档案资料服务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 xml:space="preserve">竣工档案资料服务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Cs/>
          <w:sz w:val="24"/>
          <w:szCs w:val="24"/>
          <w:u w:val="single"/>
        </w:rPr>
        <w:t>提供档案业务咨询指导和技术服务</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eastAsia="zh-CN"/>
        </w:rPr>
        <w:t>至档案馆验收合格</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投资额：</w:t>
      </w:r>
      <w:r>
        <w:rPr>
          <w:rFonts w:hint="eastAsia" w:ascii="宋体" w:hAnsi="宋体"/>
          <w:sz w:val="24"/>
          <w:szCs w:val="24"/>
          <w:highlight w:val="none"/>
          <w:u w:val="single"/>
          <w:lang w:val="en-US" w:eastAsia="zh-CN"/>
        </w:rPr>
        <w:t>64216万</w:t>
      </w:r>
      <w:r>
        <w:rPr>
          <w:rFonts w:hint="eastAsia" w:ascii="宋体" w:hAnsi="宋体"/>
          <w:sz w:val="24"/>
          <w:szCs w:val="24"/>
          <w:highlight w:val="none"/>
          <w:u w:val="single"/>
          <w:lang w:eastAsia="zh-CN"/>
        </w:rPr>
        <w:t>元</w:t>
      </w:r>
    </w:p>
    <w:p>
      <w:pPr>
        <w:spacing w:line="400" w:lineRule="exact"/>
        <w:ind w:firstLine="480" w:firstLineChars="200"/>
        <w:jc w:val="left"/>
        <w:rPr>
          <w:rFonts w:ascii="宋体" w:hAnsi="宋体"/>
          <w:sz w:val="24"/>
          <w:szCs w:val="24"/>
          <w:highlight w:val="none"/>
          <w:u w:val="single"/>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256864</w:t>
      </w:r>
      <w:r>
        <w:rPr>
          <w:rFonts w:hint="eastAsia" w:ascii="宋体" w:hAnsi="宋体"/>
          <w:sz w:val="24"/>
          <w:szCs w:val="24"/>
          <w:highlight w:val="none"/>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竞标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4</w:t>
      </w:r>
      <w:r>
        <w:rPr>
          <w:rFonts w:hint="eastAsia" w:ascii="宋体" w:hAnsi="宋体"/>
          <w:sz w:val="24"/>
          <w:szCs w:val="24"/>
          <w:highlight w:val="none"/>
        </w:rPr>
        <w:t>月</w:t>
      </w:r>
      <w:r>
        <w:rPr>
          <w:rFonts w:hint="eastAsia" w:ascii="宋体" w:hAnsi="宋体"/>
          <w:sz w:val="24"/>
          <w:szCs w:val="24"/>
          <w:highlight w:val="none"/>
          <w:u w:val="single"/>
          <w:lang w:val="en-US" w:eastAsia="zh-CN"/>
        </w:rPr>
        <w:t>17</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4</w:t>
      </w:r>
      <w:r>
        <w:rPr>
          <w:rFonts w:hint="eastAsia" w:ascii="宋体" w:hAnsi="宋体"/>
          <w:sz w:val="24"/>
          <w:szCs w:val="24"/>
          <w:highlight w:val="none"/>
        </w:rPr>
        <w:t>月</w:t>
      </w:r>
      <w:r>
        <w:rPr>
          <w:rFonts w:hint="eastAsia" w:ascii="宋体" w:hAnsi="宋体"/>
          <w:sz w:val="24"/>
          <w:szCs w:val="24"/>
          <w:highlight w:val="none"/>
          <w:u w:val="single"/>
          <w:lang w:val="en-US" w:eastAsia="zh-CN"/>
        </w:rPr>
        <w:t>20</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竣工档案资料服务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贰拾伍万陆仟捌佰陆拾肆元</w:t>
            </w:r>
            <w:r>
              <w:rPr>
                <w:rFonts w:hint="eastAsia" w:ascii="宋体" w:hAnsi="宋体"/>
                <w:sz w:val="24"/>
                <w:szCs w:val="24"/>
              </w:rPr>
              <w:t>（¥</w:t>
            </w:r>
            <w:r>
              <w:rPr>
                <w:rFonts w:hint="eastAsia" w:ascii="宋体" w:hAnsi="宋体"/>
                <w:sz w:val="24"/>
                <w:szCs w:val="24"/>
                <w:lang w:val="en-US" w:eastAsia="zh-CN"/>
              </w:rPr>
              <w:t>256864</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控制价编制依据：景发改收费字[2013]140号档案整理收费</w:t>
            </w:r>
          </w:p>
          <w:p>
            <w:pPr>
              <w:spacing w:line="400" w:lineRule="exact"/>
              <w:rPr>
                <w:rFonts w:hint="default" w:ascii="宋体" w:hAnsi="宋体" w:eastAsia="宋体"/>
                <w:sz w:val="24"/>
                <w:szCs w:val="24"/>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-1816100</wp:posOffset>
                  </wp:positionV>
                  <wp:extent cx="5676900" cy="2009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76900" cy="2009775"/>
                          </a:xfrm>
                          <a:prstGeom prst="rect">
                            <a:avLst/>
                          </a:prstGeom>
                          <a:noFill/>
                          <a:ln>
                            <a:noFill/>
                          </a:ln>
                        </pic:spPr>
                      </pic:pic>
                    </a:graphicData>
                  </a:graphic>
                </wp:anchor>
              </w:drawing>
            </w:r>
            <w:r>
              <w:rPr>
                <w:rFonts w:hint="eastAsia" w:ascii="宋体" w:hAnsi="宋体"/>
                <w:sz w:val="24"/>
                <w:szCs w:val="24"/>
              </w:rPr>
              <w:t>按照总承包合同价</w:t>
            </w:r>
            <w:r>
              <w:rPr>
                <w:rFonts w:hint="eastAsia" w:ascii="宋体" w:hAnsi="宋体"/>
                <w:sz w:val="24"/>
                <w:szCs w:val="24"/>
                <w:lang w:eastAsia="zh-CN"/>
              </w:rPr>
              <w:t>取万分之</w:t>
            </w:r>
            <w:r>
              <w:rPr>
                <w:rFonts w:hint="eastAsia" w:ascii="宋体" w:hAnsi="宋体"/>
                <w:sz w:val="24"/>
                <w:szCs w:val="24"/>
                <w:lang w:val="en-US" w:eastAsia="zh-CN"/>
              </w:rPr>
              <w:t>4作为控制价</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竣工档案资料服务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竣工档案资料服务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 xml:space="preserve">竣工档案资料服务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default" w:ascii="宋体" w:hAnsi="宋体"/>
          <w:b/>
          <w:sz w:val="24"/>
          <w:szCs w:val="24"/>
          <w:u w:val="single"/>
          <w:lang w:eastAsia="zh-CN"/>
        </w:rPr>
        <w:t>景德镇佛手湖陶瓷文化旅游景区建设项目（一期）</w:t>
      </w:r>
      <w:r>
        <w:rPr>
          <w:rFonts w:hint="eastAsia" w:ascii="宋体" w:hAnsi="宋体"/>
          <w:b/>
          <w:sz w:val="24"/>
          <w:szCs w:val="24"/>
          <w:u w:val="single"/>
        </w:rPr>
        <w:t>竣工档案资料服务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077145"/>
    <w:rsid w:val="00172A27"/>
    <w:rsid w:val="001A5A23"/>
    <w:rsid w:val="00215823"/>
    <w:rsid w:val="002C6F72"/>
    <w:rsid w:val="002D091D"/>
    <w:rsid w:val="00313CF8"/>
    <w:rsid w:val="003236EF"/>
    <w:rsid w:val="00517963"/>
    <w:rsid w:val="005E5C8A"/>
    <w:rsid w:val="005E6D71"/>
    <w:rsid w:val="005F0C0D"/>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C2D3516"/>
    <w:rsid w:val="0CBA5A4E"/>
    <w:rsid w:val="0D874D64"/>
    <w:rsid w:val="1247175D"/>
    <w:rsid w:val="12B40F3F"/>
    <w:rsid w:val="19FE1B00"/>
    <w:rsid w:val="1AA82888"/>
    <w:rsid w:val="1CC21ABC"/>
    <w:rsid w:val="1D355134"/>
    <w:rsid w:val="20761A26"/>
    <w:rsid w:val="212E5165"/>
    <w:rsid w:val="2538122F"/>
    <w:rsid w:val="26C431DB"/>
    <w:rsid w:val="276B4547"/>
    <w:rsid w:val="28022A74"/>
    <w:rsid w:val="2A174676"/>
    <w:rsid w:val="2A69267C"/>
    <w:rsid w:val="2B697D62"/>
    <w:rsid w:val="2E9C05B3"/>
    <w:rsid w:val="2F7B180E"/>
    <w:rsid w:val="31422505"/>
    <w:rsid w:val="32270DB0"/>
    <w:rsid w:val="327A56DF"/>
    <w:rsid w:val="346F7832"/>
    <w:rsid w:val="35876973"/>
    <w:rsid w:val="35B93AAE"/>
    <w:rsid w:val="371478D9"/>
    <w:rsid w:val="3C5C32F7"/>
    <w:rsid w:val="3CC3270A"/>
    <w:rsid w:val="3DC72016"/>
    <w:rsid w:val="40515B46"/>
    <w:rsid w:val="41A46DE7"/>
    <w:rsid w:val="44575FB2"/>
    <w:rsid w:val="474C7B15"/>
    <w:rsid w:val="47EF0ED9"/>
    <w:rsid w:val="4B340EC0"/>
    <w:rsid w:val="4BFF2C2B"/>
    <w:rsid w:val="4C7C4CE8"/>
    <w:rsid w:val="4CE63D97"/>
    <w:rsid w:val="4FEC4889"/>
    <w:rsid w:val="51F40CBB"/>
    <w:rsid w:val="52DA0035"/>
    <w:rsid w:val="57E6122D"/>
    <w:rsid w:val="59DC694C"/>
    <w:rsid w:val="5C2D1277"/>
    <w:rsid w:val="5D2D429B"/>
    <w:rsid w:val="6049287C"/>
    <w:rsid w:val="66EA3071"/>
    <w:rsid w:val="6A387350"/>
    <w:rsid w:val="6F3A2D14"/>
    <w:rsid w:val="6FF87C8B"/>
    <w:rsid w:val="735C2543"/>
    <w:rsid w:val="7877485F"/>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5161</Words>
  <Characters>5245</Characters>
  <Lines>43</Lines>
  <Paragraphs>12</Paragraphs>
  <TotalTime>5366</TotalTime>
  <ScaleCrop>false</ScaleCrop>
  <LinksUpToDate>false</LinksUpToDate>
  <CharactersWithSpaces>5778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2023-04-17T06:39:34Z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