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景德镇宏城游泳培训中心项目地下室结构检测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3</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景德镇宏城游泳培训中心项目地下室结构检测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景德镇宏城游泳培训中心项目地下室结构检测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keepNext w:val="0"/>
        <w:keepLines w:val="0"/>
        <w:widowControl/>
        <w:suppressLineNumbers w:val="0"/>
        <w:ind w:firstLine="480" w:firstLineChars="200"/>
        <w:jc w:val="left"/>
        <w:rPr>
          <w:rFonts w:ascii="宋体" w:hAnsi="宋体" w:cs="宋体"/>
          <w:sz w:val="24"/>
          <w:szCs w:val="24"/>
          <w:u w:val="single"/>
        </w:rPr>
      </w:pPr>
      <w:r>
        <w:rPr>
          <w:rFonts w:hint="eastAsia" w:ascii="宋体" w:hAnsi="宋体"/>
          <w:sz w:val="24"/>
          <w:szCs w:val="24"/>
        </w:rPr>
        <w:t>内 容：</w:t>
      </w:r>
      <w:r>
        <w:rPr>
          <w:rFonts w:hint="eastAsia" w:ascii="宋体" w:hAnsi="宋体"/>
          <w:b w:val="0"/>
          <w:bCs/>
          <w:sz w:val="24"/>
          <w:szCs w:val="24"/>
          <w:u w:val="single"/>
          <w:lang w:val="en-US" w:eastAsia="zh-CN"/>
        </w:rPr>
        <w:t>对本项目地下室进行结构检测</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15天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56000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default" w:ascii="宋体" w:hAnsi="宋体"/>
          <w:b/>
          <w:sz w:val="24"/>
          <w:szCs w:val="24"/>
          <w:u w:val="single"/>
          <w:lang w:val="en-US"/>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2、营业执照范围包含房屋鉴定；3、近两年内至少有一起相关类似业绩（提供合同或中标通知书复印件）</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 xml:space="preserve"> 16</w:t>
      </w:r>
      <w:bookmarkStart w:id="8" w:name="_GoBack"/>
      <w:bookmarkEnd w:id="8"/>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景德镇宏城游泳培训中心项目地下室结构检测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15</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伍万陆仟元</w:t>
            </w:r>
            <w:r>
              <w:rPr>
                <w:rFonts w:hint="eastAsia" w:ascii="宋体" w:hAnsi="宋体"/>
                <w:sz w:val="24"/>
                <w:szCs w:val="24"/>
              </w:rPr>
              <w:t>整（¥</w:t>
            </w:r>
            <w:r>
              <w:rPr>
                <w:rFonts w:hint="eastAsia" w:ascii="宋体" w:hAnsi="宋体"/>
                <w:sz w:val="24"/>
                <w:szCs w:val="24"/>
                <w:lang w:val="en-US" w:eastAsia="zh-CN"/>
              </w:rPr>
              <w:t>56000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t xml:space="preserve">控制价编制依据： </w:t>
            </w:r>
            <w:r>
              <w:rPr>
                <w:rFonts w:hint="eastAsia" w:ascii="宋体" w:hAnsi="宋体"/>
                <w:sz w:val="24"/>
                <w:szCs w:val="24"/>
                <w:lang w:val="en-US" w:eastAsia="zh-CN"/>
              </w:rPr>
              <w:t>冶建协（2007）103号文</w:t>
            </w:r>
            <w:r>
              <w:drawing>
                <wp:inline distT="0" distB="0" distL="114300" distR="114300">
                  <wp:extent cx="5690235" cy="1607185"/>
                  <wp:effectExtent l="0" t="0" r="571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90235" cy="160718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pStyle w:val="2"/>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r>
        <w:drawing>
          <wp:anchor distT="0" distB="0" distL="114300" distR="114300" simplePos="0" relativeHeight="251659264" behindDoc="0" locked="0" layoutInCell="1" allowOverlap="1">
            <wp:simplePos x="0" y="0"/>
            <wp:positionH relativeFrom="column">
              <wp:posOffset>276225</wp:posOffset>
            </wp:positionH>
            <wp:positionV relativeFrom="paragraph">
              <wp:posOffset>-6067425</wp:posOffset>
            </wp:positionV>
            <wp:extent cx="5448300" cy="778192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48300" cy="7781925"/>
                    </a:xfrm>
                    <a:prstGeom prst="rect">
                      <a:avLst/>
                    </a:prstGeom>
                    <a:noFill/>
                    <a:ln>
                      <a:noFill/>
                    </a:ln>
                  </pic:spPr>
                </pic:pic>
              </a:graphicData>
            </a:graphic>
          </wp:anchor>
        </w:drawing>
      </w: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景德镇宏城游泳培训中心项目地下室结构检测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景德镇宏城游泳培训中心项目地下室结构检测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景德镇宏城游泳培训中心项目地下室结构检测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宏城建设开发</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1"/>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景德镇宏城游泳培训中心项目地下室结构检测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144DE"/>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5CA1D7D"/>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5810F91"/>
    <w:rsid w:val="474C7B15"/>
    <w:rsid w:val="47EF0ED9"/>
    <w:rsid w:val="4B340EC0"/>
    <w:rsid w:val="4BFF2C2B"/>
    <w:rsid w:val="4C7C4CE8"/>
    <w:rsid w:val="4CE63D97"/>
    <w:rsid w:val="51F40CBB"/>
    <w:rsid w:val="52DA0035"/>
    <w:rsid w:val="52ED3E15"/>
    <w:rsid w:val="59DC694C"/>
    <w:rsid w:val="5C2D1277"/>
    <w:rsid w:val="5D2D429B"/>
    <w:rsid w:val="603241CD"/>
    <w:rsid w:val="6049287C"/>
    <w:rsid w:val="66EA3071"/>
    <w:rsid w:val="6A387350"/>
    <w:rsid w:val="6AE162FD"/>
    <w:rsid w:val="6F146E42"/>
    <w:rsid w:val="6F3A2D14"/>
    <w:rsid w:val="6FF87C8B"/>
    <w:rsid w:val="71D667ED"/>
    <w:rsid w:val="735C2543"/>
    <w:rsid w:val="7B9E5727"/>
    <w:rsid w:val="7CFD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5047</Words>
  <Characters>5127</Characters>
  <Lines>42</Lines>
  <Paragraphs>12</Paragraphs>
  <TotalTime>287</TotalTime>
  <ScaleCrop>false</ScaleCrop>
  <LinksUpToDate>false</LinksUpToDate>
  <CharactersWithSpaces>5663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2023-03-14T03:24:31Z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