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国际陶瓷文化博览旅游交流中心三标段（景德镇市陶瓷博览交易中心—智慧旅游集散中心建设项目）水土保持方案编制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8</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国际陶瓷文化博览旅游交流中心三标段（景德镇市陶瓷博览交易中心—智慧旅游集散中心建设项目）水土保持方案编制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国际陶瓷文化博览旅游交流中心三标段（景德镇市陶瓷博览交易中心—智慧旅游集散中心建设项目）水土保持方案编制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8</w:t>
      </w:r>
      <w:r>
        <w:rPr>
          <w:rFonts w:hint="eastAsia" w:ascii="宋体" w:hAnsi="宋体"/>
          <w:sz w:val="24"/>
          <w:szCs w:val="24"/>
          <w:highlight w:val="none"/>
        </w:rPr>
        <w:t>月</w:t>
      </w:r>
      <w:r>
        <w:rPr>
          <w:rFonts w:hint="eastAsia" w:ascii="宋体" w:hAnsi="宋体"/>
          <w:sz w:val="24"/>
          <w:szCs w:val="24"/>
          <w:highlight w:val="none"/>
          <w:u w:val="single"/>
          <w:lang w:val="en-US" w:eastAsia="zh-CN"/>
        </w:rPr>
        <w:t>12</w:t>
      </w:r>
      <w:r>
        <w:rPr>
          <w:rFonts w:hint="eastAsia" w:ascii="宋体" w:hAnsi="宋体"/>
          <w:sz w:val="24"/>
          <w:szCs w:val="24"/>
          <w:highlight w:val="none"/>
        </w:rPr>
        <w:t>日—</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8</w:t>
      </w:r>
      <w:r>
        <w:rPr>
          <w:rFonts w:hint="eastAsia" w:ascii="宋体" w:hAnsi="宋体"/>
          <w:sz w:val="24"/>
          <w:szCs w:val="24"/>
          <w:highlight w:val="none"/>
        </w:rPr>
        <w:t>月</w:t>
      </w:r>
      <w:r>
        <w:rPr>
          <w:rFonts w:hint="eastAsia" w:ascii="宋体" w:hAnsi="宋体"/>
          <w:sz w:val="24"/>
          <w:szCs w:val="24"/>
          <w:highlight w:val="none"/>
          <w:u w:val="single"/>
          <w:lang w:val="en-US" w:eastAsia="zh-CN"/>
        </w:rPr>
        <w:t>15</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bookmarkStart w:id="8" w:name="_GoBack"/>
      <w:bookmarkEnd w:id="8"/>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国际陶瓷文化博览旅游交流中心三标段（景德镇市陶瓷博览交易中心—智慧旅游集散中心建设项目）水土保持方案编制</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国际陶瓷文化博览旅游交流中心三标段（景德镇市陶瓷博览交易中心—智慧旅游集散中心建设项目）水土保持方案编制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国际陶瓷文化博览旅游交流中心三标段（景德镇市陶瓷博览交易中心—智慧旅游集散中心建设项目）水土保持方案编制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AE4498"/>
    <w:rsid w:val="4BE861FF"/>
    <w:rsid w:val="4BFF2C2B"/>
    <w:rsid w:val="4C7C4CE8"/>
    <w:rsid w:val="4CE63D97"/>
    <w:rsid w:val="51F40CBB"/>
    <w:rsid w:val="52DA0035"/>
    <w:rsid w:val="542906D3"/>
    <w:rsid w:val="59DC694C"/>
    <w:rsid w:val="5C2D1277"/>
    <w:rsid w:val="5D2D429B"/>
    <w:rsid w:val="603241CD"/>
    <w:rsid w:val="6049287C"/>
    <w:rsid w:val="66EA3071"/>
    <w:rsid w:val="6A387350"/>
    <w:rsid w:val="6F3A2D14"/>
    <w:rsid w:val="6FF87C8B"/>
    <w:rsid w:val="735C2543"/>
    <w:rsid w:val="79614E22"/>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5207</Words>
  <Characters>5297</Characters>
  <Lines>42</Lines>
  <Paragraphs>12</Paragraphs>
  <TotalTime>45</TotalTime>
  <ScaleCrop>false</ScaleCrop>
  <LinksUpToDate>false</LinksUpToDate>
  <CharactersWithSpaces>5840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2022-08-11T02:49:46Z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