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景德镇市中波台建设项目</w:t>
      </w:r>
      <w:r>
        <w:rPr>
          <w:rFonts w:hint="eastAsia" w:ascii="宋体-方正超大字符集" w:hAnsi="STKaiti" w:eastAsia="宋体-方正超大字符集"/>
          <w:sz w:val="32"/>
          <w:szCs w:val="32"/>
          <w:u w:val="single"/>
        </w:rPr>
        <w:t>防雷接地检测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景德镇市国信工程管理有限公司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景德镇市国信工程管理有限公司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3</w:t>
      </w:r>
      <w:bookmarkStart w:id="5" w:name="_GoBack"/>
      <w:bookmarkEnd w:id="5"/>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景德镇市国信工程管理有限公司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景德镇市中波台建设项目</w:t>
      </w:r>
      <w:r>
        <w:rPr>
          <w:rFonts w:hint="eastAsia" w:ascii="宋体" w:hAnsi="宋体"/>
          <w:b/>
          <w:sz w:val="24"/>
          <w:szCs w:val="24"/>
          <w:u w:val="single"/>
        </w:rPr>
        <w:t>防雷接地检测</w:t>
      </w:r>
      <w:r>
        <w:rPr>
          <w:rFonts w:hint="eastAsia" w:ascii="宋体" w:hAnsi="宋体"/>
          <w:b/>
          <w:sz w:val="24"/>
          <w:szCs w:val="24"/>
        </w:rPr>
        <w:t>（项目名称）</w:t>
      </w:r>
      <w:r>
        <w:rPr>
          <w:rFonts w:hint="eastAsia" w:ascii="宋体" w:hAnsi="宋体"/>
          <w:sz w:val="24"/>
          <w:szCs w:val="24"/>
        </w:rPr>
        <w:t>组织招标，现将相关事项公告如下：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景德镇市中波台建设项目</w:t>
      </w:r>
      <w:r>
        <w:rPr>
          <w:rFonts w:hint="eastAsia" w:ascii="宋体" w:hAnsi="宋体"/>
          <w:b/>
          <w:sz w:val="24"/>
          <w:szCs w:val="24"/>
          <w:u w:val="single"/>
        </w:rPr>
        <w:t xml:space="preserve">防雷接地检测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hint="eastAsia" w:ascii="宋体" w:hAnsi="宋体" w:cs="宋体"/>
          <w:sz w:val="24"/>
          <w:szCs w:val="24"/>
          <w:u w:val="single"/>
        </w:rPr>
      </w:pPr>
      <w:r>
        <w:rPr>
          <w:rFonts w:hint="eastAsia" w:ascii="宋体" w:hAnsi="宋体"/>
          <w:sz w:val="24"/>
          <w:szCs w:val="24"/>
        </w:rPr>
        <w:t>内 容：</w:t>
      </w:r>
      <w:r>
        <w:rPr>
          <w:rFonts w:hint="eastAsia" w:ascii="宋体" w:hAnsi="宋体"/>
          <w:sz w:val="24"/>
          <w:szCs w:val="24"/>
          <w:u w:val="single"/>
          <w:lang w:val="en-US" w:eastAsia="zh-CN"/>
        </w:rPr>
        <w:t>总建筑面积约11974.94 ㎡</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44876.41</w:t>
      </w:r>
      <w:r>
        <w:rPr>
          <w:rFonts w:hint="eastAsia" w:ascii="宋体" w:hAnsi="宋体"/>
          <w:sz w:val="24"/>
          <w:szCs w:val="24"/>
          <w:u w:val="single"/>
        </w:rPr>
        <w:t>元</w:t>
      </w:r>
      <w:r>
        <w:rPr>
          <w:rFonts w:hint="eastAsia" w:ascii="宋体" w:hAnsi="宋体"/>
          <w:sz w:val="24"/>
          <w:szCs w:val="24"/>
          <w:u w:val="single"/>
          <w:lang w:val="en-US" w:eastAsia="zh-CN"/>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 xml:space="preserve"> </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 xml:space="preserve"> </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日上午11：00。</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文件获取方式：携法定代表人的授权书及营业执照复印件前往报名地点领取。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景德镇市国信工程管理有限公司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景德镇市中波台建设项目</w:t>
            </w:r>
            <w:r>
              <w:rPr>
                <w:rFonts w:hint="eastAsia" w:ascii="宋体" w:hAnsi="宋体"/>
                <w:b/>
                <w:sz w:val="24"/>
                <w:szCs w:val="24"/>
                <w:u w:val="single"/>
              </w:rPr>
              <w:t>防雷接地检测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景德镇市国信工程管理有限公司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肆万肆仟捌佰柒拾陆元肆角壹分</w:t>
            </w:r>
            <w:r>
              <w:rPr>
                <w:rFonts w:hint="eastAsia" w:ascii="宋体" w:hAnsi="宋体"/>
                <w:sz w:val="24"/>
                <w:szCs w:val="24"/>
              </w:rPr>
              <w:t>（¥</w:t>
            </w:r>
            <w:r>
              <w:rPr>
                <w:rFonts w:hint="eastAsia" w:ascii="宋体" w:hAnsi="宋体"/>
                <w:sz w:val="24"/>
                <w:szCs w:val="24"/>
                <w:lang w:val="en-US" w:eastAsia="zh-CN"/>
              </w:rPr>
              <w:t>44876.41</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rPr>
              <w:t>赣发改收费字【2010】1611号</w:t>
            </w:r>
            <w:r>
              <w:rPr>
                <w:rFonts w:hAnsi="宋体"/>
              </w:rPr>
              <w:t> </w:t>
            </w:r>
          </w:p>
          <w:tbl>
            <w:tblPr>
              <w:tblStyle w:val="35"/>
              <w:tblpPr w:leftFromText="180" w:rightFromText="180" w:vertAnchor="text" w:horzAnchor="page" w:tblpX="368" w:tblpY="466"/>
              <w:tblOverlap w:val="never"/>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463"/>
              <w:gridCol w:w="1710"/>
              <w:gridCol w:w="145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82" w:type="dxa"/>
                  <w:noWrap w:val="0"/>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2463" w:type="dxa"/>
                  <w:noWrap w:val="0"/>
                  <w:vAlign w:val="top"/>
                </w:tcPr>
                <w:p>
                  <w:pPr>
                    <w:widowControl w:val="0"/>
                    <w:spacing w:beforeLines="0" w:afterLines="0"/>
                    <w:jc w:val="center"/>
                    <w:rPr>
                      <w:rFonts w:hint="eastAsia" w:ascii="宋体" w:hAnsi="宋体" w:eastAsia="宋体" w:cs="宋体"/>
                      <w:sz w:val="24"/>
                      <w:szCs w:val="24"/>
                      <w:lang w:val="en-US" w:eastAsia="zh-CN"/>
                    </w:rPr>
                  </w:pPr>
                  <w:r>
                    <w:rPr>
                      <w:rFonts w:hint="eastAsia" w:ascii="宋体" w:hAnsi="宋体" w:eastAsia="宋体" w:cs="宋体"/>
                      <w:kern w:val="0"/>
                      <w:sz w:val="24"/>
                      <w:szCs w:val="24"/>
                      <w:u w:val="none"/>
                    </w:rPr>
                    <w:t>检测项</w:t>
                  </w:r>
                </w:p>
              </w:tc>
              <w:tc>
                <w:tcPr>
                  <w:tcW w:w="1710" w:type="dxa"/>
                  <w:noWrap w:val="0"/>
                  <w:vAlign w:val="top"/>
                </w:tcPr>
                <w:p>
                  <w:pPr>
                    <w:widowControl w:val="0"/>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点位</w:t>
                  </w:r>
                </w:p>
              </w:tc>
              <w:tc>
                <w:tcPr>
                  <w:tcW w:w="1455" w:type="dxa"/>
                  <w:noWrap w:val="0"/>
                  <w:vAlign w:val="top"/>
                </w:tcPr>
                <w:p>
                  <w:pPr>
                    <w:widowControl w:val="0"/>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单价（元）</w:t>
                  </w:r>
                </w:p>
              </w:tc>
              <w:tc>
                <w:tcPr>
                  <w:tcW w:w="1485" w:type="dxa"/>
                  <w:noWrap w:val="0"/>
                  <w:vAlign w:val="top"/>
                </w:tcPr>
                <w:p>
                  <w:pPr>
                    <w:widowControl w:val="0"/>
                    <w:spacing w:beforeLines="0" w:afterLines="0"/>
                    <w:ind w:firstLine="240" w:firstLineChars="1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82" w:type="dxa"/>
                  <w:vMerge w:val="restart"/>
                  <w:noWrap w:val="0"/>
                  <w:vAlign w:val="top"/>
                </w:tcPr>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100m四管塔</w:t>
                  </w:r>
                </w:p>
              </w:tc>
              <w:tc>
                <w:tcPr>
                  <w:tcW w:w="2463" w:type="dxa"/>
                  <w:noWrap w:val="0"/>
                  <w:vAlign w:val="top"/>
                </w:tcPr>
                <w:p>
                  <w:pPr>
                    <w:widowControl w:val="0"/>
                    <w:spacing w:beforeLines="0" w:afterLine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外围环形接地体</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455" w:type="dxa"/>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1500</w:t>
                  </w:r>
                </w:p>
              </w:tc>
              <w:tc>
                <w:tcPr>
                  <w:tcW w:w="1485" w:type="dxa"/>
                  <w:noWrap w:val="0"/>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82" w:type="dxa"/>
                  <w:vMerge w:val="continue"/>
                  <w:noWrap w:val="0"/>
                  <w:vAlign w:val="top"/>
                </w:tcPr>
                <w:p>
                  <w:pPr>
                    <w:widowControl w:val="0"/>
                    <w:spacing w:beforeLines="0" w:afterLines="0"/>
                    <w:jc w:val="center"/>
                    <w:rPr>
                      <w:rFonts w:hint="eastAsia" w:ascii="宋体" w:hAnsi="宋体" w:eastAsia="宋体" w:cs="宋体"/>
                      <w:sz w:val="24"/>
                      <w:szCs w:val="24"/>
                      <w:lang w:val="en-US" w:eastAsia="zh-CN"/>
                    </w:rPr>
                  </w:pPr>
                </w:p>
              </w:tc>
              <w:tc>
                <w:tcPr>
                  <w:tcW w:w="2463" w:type="dxa"/>
                  <w:noWrap w:val="0"/>
                  <w:vAlign w:val="top"/>
                </w:tcPr>
                <w:p>
                  <w:pPr>
                    <w:widowControl w:val="0"/>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接闪器</w:t>
                  </w:r>
                </w:p>
              </w:tc>
              <w:tc>
                <w:tcPr>
                  <w:tcW w:w="1710" w:type="dxa"/>
                  <w:noWrap w:val="0"/>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455" w:type="dxa"/>
                  <w:noWrap w:val="0"/>
                  <w:vAlign w:val="center"/>
                </w:tcPr>
                <w:p>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320</w:t>
                  </w:r>
                </w:p>
              </w:tc>
              <w:tc>
                <w:tcPr>
                  <w:tcW w:w="1485" w:type="dxa"/>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3840.00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82" w:type="dxa"/>
                  <w:vMerge w:val="continue"/>
                  <w:noWrap w:val="0"/>
                  <w:vAlign w:val="top"/>
                </w:tcPr>
                <w:p>
                  <w:pPr>
                    <w:widowControl w:val="0"/>
                    <w:spacing w:beforeLines="0" w:afterLines="0"/>
                    <w:jc w:val="center"/>
                    <w:rPr>
                      <w:rFonts w:hint="eastAsia" w:ascii="宋体" w:hAnsi="宋体" w:eastAsia="宋体" w:cs="宋体"/>
                      <w:sz w:val="24"/>
                      <w:szCs w:val="24"/>
                      <w:lang w:val="en-US" w:eastAsia="zh-CN"/>
                    </w:rPr>
                  </w:pPr>
                </w:p>
              </w:tc>
              <w:tc>
                <w:tcPr>
                  <w:tcW w:w="2463" w:type="dxa"/>
                  <w:noWrap w:val="0"/>
                  <w:vAlign w:val="top"/>
                </w:tcPr>
                <w:p>
                  <w:pPr>
                    <w:widowControl w:val="0"/>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铁塔地网</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1455" w:type="dxa"/>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115</w:t>
                  </w:r>
                </w:p>
              </w:tc>
              <w:tc>
                <w:tcPr>
                  <w:tcW w:w="1485" w:type="dxa"/>
                  <w:noWrap w:val="0"/>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82" w:type="dxa"/>
                  <w:vMerge w:val="continue"/>
                  <w:noWrap w:val="0"/>
                  <w:vAlign w:val="top"/>
                </w:tcPr>
                <w:p>
                  <w:pPr>
                    <w:widowControl w:val="0"/>
                    <w:spacing w:beforeLines="0" w:afterLines="0"/>
                    <w:jc w:val="center"/>
                    <w:rPr>
                      <w:rFonts w:hint="eastAsia" w:ascii="宋体" w:hAnsi="宋体" w:eastAsia="宋体" w:cs="宋体"/>
                      <w:sz w:val="24"/>
                      <w:szCs w:val="24"/>
                      <w:lang w:eastAsia="zh-CN"/>
                    </w:rPr>
                  </w:pPr>
                </w:p>
              </w:tc>
              <w:tc>
                <w:tcPr>
                  <w:tcW w:w="2463" w:type="dxa"/>
                  <w:noWrap w:val="0"/>
                  <w:vAlign w:val="top"/>
                </w:tcPr>
                <w:p>
                  <w:pPr>
                    <w:widowControl w:val="0"/>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避雷网格</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1455" w:type="dxa"/>
                  <w:noWrap w:val="0"/>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85</w:t>
                  </w:r>
                </w:p>
              </w:tc>
              <w:tc>
                <w:tcPr>
                  <w:tcW w:w="1485" w:type="dxa"/>
                  <w:noWrap w:val="0"/>
                  <w:vAlign w:val="center"/>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2210.00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82" w:type="dxa"/>
                  <w:vMerge w:val="restart"/>
                  <w:noWrap w:val="0"/>
                  <w:vAlign w:val="top"/>
                </w:tcPr>
                <w:p>
                  <w:pPr>
                    <w:widowControl w:val="0"/>
                    <w:spacing w:beforeLines="0" w:afterLines="0"/>
                    <w:jc w:val="center"/>
                    <w:rPr>
                      <w:rFonts w:hint="eastAsia" w:ascii="宋体" w:hAnsi="宋体" w:eastAsia="宋体" w:cs="宋体"/>
                      <w:sz w:val="24"/>
                      <w:szCs w:val="24"/>
                      <w:lang w:val="en-US" w:eastAsia="zh-CN"/>
                    </w:rPr>
                  </w:pPr>
                </w:p>
                <w:p>
                  <w:pPr>
                    <w:widowControl w:val="0"/>
                    <w:spacing w:beforeLines="0" w:afterLines="0"/>
                    <w:jc w:val="center"/>
                    <w:rPr>
                      <w:rFonts w:hint="eastAsia" w:ascii="宋体" w:hAnsi="宋体" w:eastAsia="宋体" w:cs="宋体"/>
                      <w:sz w:val="24"/>
                      <w:szCs w:val="24"/>
                      <w:lang w:val="en-US" w:eastAsia="zh-CN"/>
                    </w:rPr>
                  </w:pPr>
                </w:p>
                <w:p>
                  <w:pPr>
                    <w:widowControl w:val="0"/>
                    <w:spacing w:beforeLines="0" w:afterLines="0"/>
                    <w:jc w:val="center"/>
                    <w:rPr>
                      <w:rFonts w:hint="eastAsia" w:ascii="宋体" w:hAnsi="宋体" w:eastAsia="宋体" w:cs="宋体"/>
                      <w:sz w:val="24"/>
                      <w:szCs w:val="24"/>
                      <w:lang w:val="en-US" w:eastAsia="zh-CN"/>
                    </w:rPr>
                  </w:pPr>
                </w:p>
                <w:p>
                  <w:pPr>
                    <w:widowControl w:val="0"/>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76m三管塔</w:t>
                  </w:r>
                </w:p>
              </w:tc>
              <w:tc>
                <w:tcPr>
                  <w:tcW w:w="2463" w:type="dxa"/>
                  <w:noWrap w:val="0"/>
                  <w:vAlign w:val="top"/>
                </w:tcPr>
                <w:p>
                  <w:pPr>
                    <w:widowControl w:val="0"/>
                    <w:spacing w:beforeLines="0" w:afterLines="0"/>
                    <w:jc w:val="center"/>
                    <w:rPr>
                      <w:rFonts w:hint="eastAsia" w:ascii="宋体" w:hAnsi="宋体" w:eastAsia="宋体" w:cs="宋体"/>
                      <w:sz w:val="24"/>
                      <w:szCs w:val="24"/>
                    </w:rPr>
                  </w:pPr>
                  <w:r>
                    <w:rPr>
                      <w:rFonts w:hint="eastAsia" w:ascii="宋体" w:hAnsi="宋体" w:eastAsia="宋体" w:cs="宋体"/>
                      <w:sz w:val="24"/>
                      <w:szCs w:val="24"/>
                      <w:lang w:val="en-US" w:eastAsia="zh-CN"/>
                    </w:rPr>
                    <w:t>外围环形接地体</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455" w:type="dxa"/>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1500</w:t>
                  </w:r>
                </w:p>
              </w:tc>
              <w:tc>
                <w:tcPr>
                  <w:tcW w:w="1485" w:type="dxa"/>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82" w:type="dxa"/>
                  <w:vMerge w:val="continue"/>
                  <w:noWrap w:val="0"/>
                  <w:vAlign w:val="top"/>
                </w:tcPr>
                <w:p>
                  <w:pPr>
                    <w:widowControl w:val="0"/>
                    <w:spacing w:beforeLines="0" w:afterLines="0"/>
                    <w:jc w:val="center"/>
                    <w:rPr>
                      <w:rFonts w:hint="eastAsia" w:ascii="宋体" w:hAnsi="宋体" w:eastAsia="宋体" w:cs="宋体"/>
                      <w:kern w:val="2"/>
                      <w:sz w:val="24"/>
                      <w:szCs w:val="24"/>
                      <w:lang w:val="en-US" w:eastAsia="zh-CN" w:bidi="ar-SA"/>
                    </w:rPr>
                  </w:pPr>
                </w:p>
              </w:tc>
              <w:tc>
                <w:tcPr>
                  <w:tcW w:w="2463" w:type="dxa"/>
                  <w:noWrap w:val="0"/>
                  <w:vAlign w:val="top"/>
                </w:tcPr>
                <w:p>
                  <w:pPr>
                    <w:widowControl w:val="0"/>
                    <w:spacing w:beforeLines="0" w:afterLine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接闪器</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12</w:t>
                  </w:r>
                </w:p>
              </w:tc>
              <w:tc>
                <w:tcPr>
                  <w:tcW w:w="1455"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320</w:t>
                  </w:r>
                </w:p>
              </w:tc>
              <w:tc>
                <w:tcPr>
                  <w:tcW w:w="1485"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3840.00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82" w:type="dxa"/>
                  <w:vMerge w:val="continue"/>
                  <w:noWrap w:val="0"/>
                  <w:vAlign w:val="top"/>
                </w:tcPr>
                <w:p>
                  <w:pPr>
                    <w:widowControl w:val="0"/>
                    <w:spacing w:beforeLines="0" w:afterLines="0"/>
                    <w:jc w:val="center"/>
                    <w:rPr>
                      <w:rFonts w:hint="eastAsia" w:ascii="宋体" w:hAnsi="宋体" w:eastAsia="宋体" w:cs="宋体"/>
                      <w:kern w:val="2"/>
                      <w:sz w:val="24"/>
                      <w:szCs w:val="24"/>
                      <w:lang w:val="en-US" w:eastAsia="zh-CN" w:bidi="ar-SA"/>
                    </w:rPr>
                  </w:pPr>
                </w:p>
              </w:tc>
              <w:tc>
                <w:tcPr>
                  <w:tcW w:w="2463" w:type="dxa"/>
                  <w:noWrap w:val="0"/>
                  <w:vAlign w:val="top"/>
                </w:tcPr>
                <w:p>
                  <w:pPr>
                    <w:widowControl w:val="0"/>
                    <w:spacing w:beforeLines="0" w:afterLines="0"/>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铁塔地网</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455"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115</w:t>
                  </w:r>
                </w:p>
              </w:tc>
              <w:tc>
                <w:tcPr>
                  <w:tcW w:w="1485"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82" w:type="dxa"/>
                  <w:vMerge w:val="continue"/>
                  <w:noWrap w:val="0"/>
                  <w:vAlign w:val="top"/>
                </w:tcPr>
                <w:p>
                  <w:pPr>
                    <w:widowControl w:val="0"/>
                    <w:spacing w:beforeLines="0" w:afterLines="0"/>
                    <w:jc w:val="center"/>
                    <w:rPr>
                      <w:rFonts w:hint="eastAsia" w:ascii="宋体" w:hAnsi="宋体" w:eastAsia="宋体" w:cs="宋体"/>
                      <w:kern w:val="2"/>
                      <w:sz w:val="24"/>
                      <w:szCs w:val="24"/>
                      <w:lang w:val="en-US" w:eastAsia="zh-CN" w:bidi="ar-SA"/>
                    </w:rPr>
                  </w:pPr>
                </w:p>
              </w:tc>
              <w:tc>
                <w:tcPr>
                  <w:tcW w:w="2463" w:type="dxa"/>
                  <w:noWrap w:val="0"/>
                  <w:vAlign w:val="top"/>
                </w:tcPr>
                <w:p>
                  <w:pPr>
                    <w:widowControl w:val="0"/>
                    <w:spacing w:beforeLines="0" w:afterLine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避雷网格</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26</w:t>
                  </w:r>
                </w:p>
              </w:tc>
              <w:tc>
                <w:tcPr>
                  <w:tcW w:w="1455"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85</w:t>
                  </w:r>
                </w:p>
              </w:tc>
              <w:tc>
                <w:tcPr>
                  <w:tcW w:w="1485" w:type="dxa"/>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82" w:type="dxa"/>
                  <w:vMerge w:val="restart"/>
                  <w:noWrap w:val="0"/>
                  <w:vAlign w:val="top"/>
                </w:tcPr>
                <w:p>
                  <w:pPr>
                    <w:widowControl w:val="0"/>
                    <w:spacing w:beforeLines="0" w:afterLines="0"/>
                    <w:jc w:val="center"/>
                    <w:rPr>
                      <w:rFonts w:hint="eastAsia" w:ascii="宋体" w:hAnsi="宋体" w:eastAsia="宋体" w:cs="宋体"/>
                      <w:sz w:val="24"/>
                      <w:szCs w:val="24"/>
                      <w:lang w:val="en-US" w:eastAsia="zh-CN"/>
                    </w:rPr>
                  </w:pPr>
                </w:p>
                <w:p>
                  <w:pPr>
                    <w:widowControl w:val="0"/>
                    <w:spacing w:beforeLines="0" w:afterLines="0"/>
                    <w:jc w:val="center"/>
                    <w:rPr>
                      <w:rFonts w:hint="eastAsia" w:ascii="宋体" w:hAnsi="宋体" w:eastAsia="宋体" w:cs="宋体"/>
                      <w:sz w:val="24"/>
                      <w:szCs w:val="24"/>
                      <w:lang w:val="en-US" w:eastAsia="zh-CN"/>
                    </w:rPr>
                  </w:pPr>
                </w:p>
                <w:p>
                  <w:pPr>
                    <w:widowControl w:val="0"/>
                    <w:spacing w:beforeLines="0" w:afterLines="0"/>
                    <w:jc w:val="center"/>
                    <w:rPr>
                      <w:rFonts w:hint="eastAsia" w:ascii="宋体" w:hAnsi="宋体" w:eastAsia="宋体" w:cs="宋体"/>
                      <w:sz w:val="24"/>
                      <w:szCs w:val="24"/>
                      <w:lang w:val="en-US" w:eastAsia="zh-CN"/>
                    </w:rPr>
                  </w:pPr>
                </w:p>
                <w:p>
                  <w:pPr>
                    <w:widowControl w:val="0"/>
                    <w:spacing w:beforeLines="0" w:afterLine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76m三管塔</w:t>
                  </w:r>
                </w:p>
              </w:tc>
              <w:tc>
                <w:tcPr>
                  <w:tcW w:w="2463" w:type="dxa"/>
                  <w:noWrap w:val="0"/>
                  <w:vAlign w:val="top"/>
                </w:tcPr>
                <w:p>
                  <w:pPr>
                    <w:widowControl w:val="0"/>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外围环形接地体</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w:t>
                  </w:r>
                </w:p>
              </w:tc>
              <w:tc>
                <w:tcPr>
                  <w:tcW w:w="148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82" w:type="dxa"/>
                  <w:vMerge w:val="continue"/>
                  <w:noWrap w:val="0"/>
                  <w:vAlign w:val="top"/>
                </w:tcPr>
                <w:p>
                  <w:pPr>
                    <w:widowControl w:val="0"/>
                    <w:spacing w:beforeLines="0" w:afterLines="0"/>
                    <w:jc w:val="center"/>
                    <w:rPr>
                      <w:rFonts w:hint="eastAsia" w:ascii="宋体" w:hAnsi="宋体" w:eastAsia="宋体" w:cs="宋体"/>
                      <w:kern w:val="2"/>
                      <w:sz w:val="24"/>
                      <w:szCs w:val="24"/>
                      <w:lang w:val="en-US" w:eastAsia="zh-CN" w:bidi="ar-SA"/>
                    </w:rPr>
                  </w:pPr>
                </w:p>
              </w:tc>
              <w:tc>
                <w:tcPr>
                  <w:tcW w:w="2463" w:type="dxa"/>
                  <w:noWrap w:val="0"/>
                  <w:vAlign w:val="top"/>
                </w:tcPr>
                <w:p>
                  <w:pPr>
                    <w:widowControl w:val="0"/>
                    <w:spacing w:beforeLines="0" w:afterLine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接闪器</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4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148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3840.00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82" w:type="dxa"/>
                  <w:vMerge w:val="continue"/>
                  <w:noWrap w:val="0"/>
                  <w:vAlign w:val="top"/>
                </w:tcPr>
                <w:p>
                  <w:pPr>
                    <w:widowControl w:val="0"/>
                    <w:spacing w:beforeLines="0" w:afterLines="0"/>
                    <w:jc w:val="center"/>
                    <w:rPr>
                      <w:rFonts w:hint="eastAsia" w:ascii="宋体" w:hAnsi="宋体" w:eastAsia="宋体" w:cs="宋体"/>
                      <w:kern w:val="2"/>
                      <w:sz w:val="24"/>
                      <w:szCs w:val="24"/>
                      <w:lang w:val="en-US" w:eastAsia="zh-CN" w:bidi="ar-SA"/>
                    </w:rPr>
                  </w:pPr>
                </w:p>
              </w:tc>
              <w:tc>
                <w:tcPr>
                  <w:tcW w:w="2463" w:type="dxa"/>
                  <w:noWrap w:val="0"/>
                  <w:vAlign w:val="top"/>
                </w:tcPr>
                <w:p>
                  <w:pPr>
                    <w:widowControl w:val="0"/>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铁塔地网</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4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148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82" w:type="dxa"/>
                  <w:vMerge w:val="continue"/>
                  <w:noWrap w:val="0"/>
                  <w:vAlign w:val="top"/>
                </w:tcPr>
                <w:p>
                  <w:pPr>
                    <w:widowControl w:val="0"/>
                    <w:spacing w:beforeLines="0" w:afterLines="0"/>
                    <w:jc w:val="center"/>
                    <w:rPr>
                      <w:rFonts w:hint="eastAsia" w:ascii="宋体" w:hAnsi="宋体" w:eastAsia="宋体" w:cs="宋体"/>
                      <w:kern w:val="2"/>
                      <w:sz w:val="24"/>
                      <w:szCs w:val="24"/>
                      <w:lang w:val="en-US" w:eastAsia="zh-CN" w:bidi="ar-SA"/>
                    </w:rPr>
                  </w:pPr>
                </w:p>
              </w:tc>
              <w:tc>
                <w:tcPr>
                  <w:tcW w:w="2463" w:type="dxa"/>
                  <w:noWrap w:val="0"/>
                  <w:vAlign w:val="top"/>
                </w:tcPr>
                <w:p>
                  <w:pPr>
                    <w:widowControl w:val="0"/>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避雷网格</w:t>
                  </w:r>
                </w:p>
              </w:tc>
              <w:tc>
                <w:tcPr>
                  <w:tcW w:w="171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455"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148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945" w:type="dxa"/>
                  <w:gridSpan w:val="2"/>
                  <w:noWrap w:val="0"/>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小计：14120*3</w:t>
                  </w:r>
                </w:p>
              </w:tc>
              <w:tc>
                <w:tcPr>
                  <w:tcW w:w="4650" w:type="dxa"/>
                  <w:gridSpan w:val="3"/>
                  <w:noWrap w:val="0"/>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总计：      42360</w:t>
                  </w:r>
                </w:p>
              </w:tc>
            </w:tr>
          </w:tbl>
          <w:p>
            <w:pPr>
              <w:jc w:val="both"/>
              <w:rPr>
                <w:rFonts w:hint="eastAsia" w:ascii="宋体" w:hAnsi="宋体" w:eastAsia="宋体" w:cs="宋体"/>
                <w:b/>
                <w:bCs/>
                <w:sz w:val="24"/>
                <w:szCs w:val="24"/>
              </w:rPr>
            </w:pPr>
          </w:p>
          <w:p>
            <w:pPr>
              <w:pStyle w:val="2"/>
              <w:snapToGrid/>
              <w:spacing w:before="0" w:beforeAutospacing="0" w:after="0" w:afterAutospacing="0" w:line="240" w:lineRule="auto"/>
              <w:jc w:val="both"/>
              <w:textAlignment w:val="baseline"/>
              <w:rPr>
                <w:rFonts w:hint="eastAsia" w:ascii="宋体" w:hAnsi="宋体" w:eastAsia="宋体" w:cs="宋体"/>
                <w:b w:val="0"/>
                <w:bCs w:val="0"/>
                <w:i w:val="0"/>
                <w:iCs w:val="0"/>
                <w:color w:val="000000"/>
                <w:kern w:val="0"/>
                <w:sz w:val="24"/>
                <w:szCs w:val="24"/>
                <w:u w:val="none"/>
                <w:lang w:val="en-US" w:eastAsia="zh-CN" w:bidi="ar"/>
              </w:rPr>
            </w:pPr>
            <w:r>
              <w:rPr>
                <w:rFonts w:hint="eastAsia"/>
                <w:sz w:val="28"/>
                <w:szCs w:val="28"/>
                <w:vertAlign w:val="baseline"/>
                <w:lang w:val="en-US" w:eastAsia="zh-CN"/>
              </w:rPr>
              <w:t>房建面积</w:t>
            </w:r>
            <w:r>
              <w:rPr>
                <w:rFonts w:hint="eastAsia" w:ascii="宋体" w:hAnsi="宋体" w:eastAsia="宋体" w:cs="宋体"/>
                <w:b w:val="0"/>
                <w:bCs w:val="0"/>
                <w:i w:val="0"/>
                <w:iCs w:val="0"/>
                <w:color w:val="000000"/>
                <w:kern w:val="0"/>
                <w:sz w:val="24"/>
                <w:szCs w:val="24"/>
                <w:u w:val="none"/>
                <w:lang w:val="en-US" w:eastAsia="zh-CN" w:bidi="ar"/>
              </w:rPr>
              <w:t>2396.58平方米，参考 赣发改收费字【2010】1611号，取5折。</w:t>
            </w:r>
          </w:p>
          <w:p>
            <w:pPr>
              <w:pStyle w:val="2"/>
              <w:snapToGrid/>
              <w:spacing w:before="0" w:beforeAutospacing="0" w:after="0" w:afterAutospacing="0" w:line="240" w:lineRule="auto"/>
              <w:jc w:val="both"/>
              <w:textAlignment w:val="baseline"/>
            </w:pPr>
            <w:r>
              <w:drawing>
                <wp:inline distT="0" distB="0" distL="114300" distR="114300">
                  <wp:extent cx="4838700" cy="5429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p>
            <w:pPr>
              <w:pStyle w:val="2"/>
              <w:snapToGrid/>
              <w:spacing w:before="0" w:beforeAutospacing="0" w:after="0" w:afterAutospacing="0" w:line="240" w:lineRule="auto"/>
              <w:jc w:val="both"/>
              <w:textAlignment w:val="baseline"/>
              <w:rPr>
                <w:rFonts w:hint="eastAsia" w:hAnsi="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2396.58</w:t>
            </w:r>
            <w:r>
              <w:rPr>
                <w:rFonts w:hint="eastAsia" w:hAnsi="宋体" w:cs="宋体"/>
                <w:b w:val="0"/>
                <w:bCs w:val="0"/>
                <w:i w:val="0"/>
                <w:iCs w:val="0"/>
                <w:color w:val="000000"/>
                <w:kern w:val="0"/>
                <w:sz w:val="24"/>
                <w:szCs w:val="24"/>
                <w:u w:val="none"/>
                <w:lang w:val="en-US" w:eastAsia="zh-CN" w:bidi="ar"/>
              </w:rPr>
              <w:t>*1.05=2516.41元</w:t>
            </w:r>
          </w:p>
          <w:p>
            <w:pPr>
              <w:pStyle w:val="2"/>
              <w:snapToGrid/>
              <w:spacing w:before="0" w:beforeAutospacing="0" w:after="0" w:afterAutospacing="0" w:line="240" w:lineRule="auto"/>
              <w:jc w:val="both"/>
              <w:textAlignment w:val="baseline"/>
              <w:rPr>
                <w:rFonts w:hint="eastAsia" w:hAnsi="宋体" w:cs="宋体"/>
                <w:b w:val="0"/>
                <w:bCs w:val="0"/>
                <w:i w:val="0"/>
                <w:iCs w:val="0"/>
                <w:color w:val="000000"/>
                <w:kern w:val="0"/>
                <w:sz w:val="24"/>
                <w:szCs w:val="24"/>
                <w:u w:val="none"/>
                <w:lang w:val="en-US" w:eastAsia="zh-CN" w:bidi="ar"/>
              </w:rPr>
            </w:pPr>
          </w:p>
          <w:p>
            <w:pPr>
              <w:pStyle w:val="2"/>
              <w:snapToGrid/>
              <w:spacing w:before="0" w:beforeAutospacing="0" w:after="0" w:afterAutospacing="0" w:line="240" w:lineRule="auto"/>
              <w:jc w:val="both"/>
              <w:textAlignment w:val="baseline"/>
              <w:rPr>
                <w:rFonts w:hint="default" w:hAnsi="宋体" w:cs="宋体"/>
                <w:b w:val="0"/>
                <w:bCs w:val="0"/>
                <w:i w:val="0"/>
                <w:iCs w:val="0"/>
                <w:color w:val="000000"/>
                <w:kern w:val="0"/>
                <w:sz w:val="24"/>
                <w:szCs w:val="24"/>
                <w:u w:val="none"/>
                <w:lang w:val="en-US" w:eastAsia="zh-CN" w:bidi="ar"/>
              </w:rPr>
            </w:pPr>
            <w:r>
              <w:rPr>
                <w:rFonts w:hint="eastAsia" w:hAnsi="宋体" w:cs="宋体"/>
                <w:b w:val="0"/>
                <w:bCs w:val="0"/>
                <w:i w:val="0"/>
                <w:iCs w:val="0"/>
                <w:color w:val="000000"/>
                <w:kern w:val="0"/>
                <w:sz w:val="24"/>
                <w:szCs w:val="24"/>
                <w:u w:val="none"/>
                <w:lang w:val="en-US" w:eastAsia="zh-CN" w:bidi="ar"/>
              </w:rPr>
              <w:t>42360+2516.41=44876.41元</w:t>
            </w:r>
          </w:p>
          <w:p>
            <w:pPr>
              <w:widowControl/>
              <w:jc w:val="left"/>
            </w:pP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景德镇市中波台建设项目防雷接地检测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招标</w:t>
      </w:r>
      <w:r>
        <w:rPr>
          <w:rFonts w:hint="eastAsia" w:ascii="宋体" w:hAnsi="宋体"/>
          <w:sz w:val="24"/>
          <w:szCs w:val="24"/>
        </w:rPr>
        <w:t>。本</w:t>
      </w:r>
      <w:r>
        <w:rPr>
          <w:rFonts w:hint="eastAsia" w:ascii="宋体" w:hAnsi="宋体"/>
          <w:sz w:val="24"/>
          <w:szCs w:val="24"/>
          <w:lang w:eastAsia="zh-CN"/>
        </w:rPr>
        <w:t>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景德镇市中波台建设项目防雷接地检测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景德镇市中波台建设项目防雷接地检测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景德镇市国信工程管理有限公司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及授权人身份证（加盖单位公章，授权人身份证原件备查）；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景德镇市国信工程管理有限公司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景德镇市中波台建设项目防雷接地检测</w:t>
      </w:r>
      <w:r>
        <w:rPr>
          <w:rFonts w:hint="eastAsia" w:ascii="仿宋_GB2312" w:eastAsia="仿宋_GB2312"/>
          <w:sz w:val="24"/>
          <w:szCs w:val="24"/>
        </w:rPr>
        <w:t>的</w:t>
      </w:r>
      <w:r>
        <w:rPr>
          <w:rFonts w:hint="eastAsia" w:ascii="仿宋_GB2312" w:eastAsia="仿宋_GB2312"/>
          <w:sz w:val="24"/>
          <w:szCs w:val="24"/>
          <w:lang w:eastAsia="zh-CN"/>
        </w:rPr>
        <w:t>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景德镇市国信工程管理有限公司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景德镇市中波台建设项目防雷接地检测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rPr>
          <w:rFonts w:hint="eastAsia"/>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2AD1388"/>
    <w:rsid w:val="081E79F8"/>
    <w:rsid w:val="0839353C"/>
    <w:rsid w:val="085F679A"/>
    <w:rsid w:val="0914518E"/>
    <w:rsid w:val="0B2B3842"/>
    <w:rsid w:val="0C2D3516"/>
    <w:rsid w:val="0D874D64"/>
    <w:rsid w:val="19FE1B00"/>
    <w:rsid w:val="1D355134"/>
    <w:rsid w:val="2538122F"/>
    <w:rsid w:val="276B4547"/>
    <w:rsid w:val="28022A74"/>
    <w:rsid w:val="2A174676"/>
    <w:rsid w:val="2E9C05B3"/>
    <w:rsid w:val="2F7B180E"/>
    <w:rsid w:val="31422505"/>
    <w:rsid w:val="32270DB0"/>
    <w:rsid w:val="327A56DF"/>
    <w:rsid w:val="346F7832"/>
    <w:rsid w:val="36855CBB"/>
    <w:rsid w:val="3CC3270A"/>
    <w:rsid w:val="3D905866"/>
    <w:rsid w:val="3DC72016"/>
    <w:rsid w:val="40515B46"/>
    <w:rsid w:val="41112F3B"/>
    <w:rsid w:val="41A46DE7"/>
    <w:rsid w:val="44575FB2"/>
    <w:rsid w:val="474C7B15"/>
    <w:rsid w:val="47EF0ED9"/>
    <w:rsid w:val="4B340EC0"/>
    <w:rsid w:val="4BFF2C2B"/>
    <w:rsid w:val="4C7C4CE8"/>
    <w:rsid w:val="4CE63D97"/>
    <w:rsid w:val="4FBC4E99"/>
    <w:rsid w:val="51F40CBB"/>
    <w:rsid w:val="52DA0035"/>
    <w:rsid w:val="59DC694C"/>
    <w:rsid w:val="5C2D1277"/>
    <w:rsid w:val="5D2D429B"/>
    <w:rsid w:val="5D3673DB"/>
    <w:rsid w:val="5DA823AC"/>
    <w:rsid w:val="6049287C"/>
    <w:rsid w:val="659D655C"/>
    <w:rsid w:val="66EA3071"/>
    <w:rsid w:val="6A387350"/>
    <w:rsid w:val="6E9F4182"/>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903</Words>
  <Characters>5150</Characters>
  <Lines>42</Lines>
  <Paragraphs>12</Paragraphs>
  <TotalTime>201</TotalTime>
  <ScaleCrop>false</ScaleCrop>
  <LinksUpToDate>false</LinksUpToDate>
  <CharactersWithSpaces>6041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2021-12-09T09:39:00Z</cp:lastPrinted>
  <dcterms:modified xsi:type="dcterms:W3CDTF">2022-03-10T07:20:56Z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