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pPr>
        <w:spacing w:line="500" w:lineRule="exact"/>
        <w:rPr>
          <w:rFonts w:ascii="STHupo" w:hAnsi="华文细黑" w:eastAsia="STHupo"/>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STKaiti" w:eastAsia="宋体-方正超大字符集"/>
          <w:sz w:val="32"/>
          <w:szCs w:val="32"/>
          <w:u w:val="single"/>
        </w:rPr>
      </w:pPr>
      <w:r>
        <w:rPr>
          <w:rFonts w:hint="eastAsia" w:ascii="宋体-方正超大字符集" w:hAnsi="STKaiti" w:eastAsia="宋体-方正超大字符集"/>
          <w:sz w:val="32"/>
          <w:szCs w:val="32"/>
        </w:rPr>
        <w:t>项目名称：</w:t>
      </w:r>
      <w:r>
        <w:rPr>
          <w:rFonts w:hint="eastAsia" w:ascii="宋体-方正超大字符集" w:hAnsi="STKaiti" w:eastAsia="宋体-方正超大字符集"/>
          <w:sz w:val="32"/>
          <w:szCs w:val="32"/>
          <w:u w:val="single"/>
        </w:rPr>
        <w:t>景德镇市国际陶瓷文化博览旅游交流中心建设项目（一标段）洪蛇</w:t>
      </w:r>
      <w:r>
        <w:rPr>
          <w:rFonts w:hint="eastAsia" w:ascii="宋体" w:hAnsi="宋体"/>
          <w:sz w:val="32"/>
          <w:szCs w:val="32"/>
          <w:u w:val="single"/>
        </w:rPr>
        <w:t>Ⅰ、Ⅱ线山体土方工程</w:t>
      </w:r>
      <w:r>
        <w:rPr>
          <w:rFonts w:hint="eastAsia" w:ascii="STKaiti" w:hAnsi="STKaiti" w:eastAsia="STKaiti" w:cs="STKaiti"/>
          <w:sz w:val="30"/>
          <w:szCs w:val="30"/>
          <w:u w:val="single"/>
        </w:rPr>
        <w:t xml:space="preserve"> </w:t>
      </w:r>
    </w:p>
    <w:p>
      <w:pPr>
        <w:spacing w:line="660" w:lineRule="exact"/>
        <w:ind w:firstLine="960" w:firstLineChars="300"/>
        <w:rPr>
          <w:rFonts w:ascii="STKaiti" w:hAnsi="STKaiti" w:eastAsia="STKaiti"/>
          <w:sz w:val="32"/>
          <w:szCs w:val="32"/>
          <w:u w:val="single"/>
        </w:rPr>
      </w:pPr>
      <w:r>
        <w:rPr>
          <w:rFonts w:hint="eastAsia" w:ascii="STKaiti" w:hAnsi="STKaiti" w:eastAsia="STKaiti"/>
          <w:sz w:val="32"/>
          <w:szCs w:val="32"/>
        </w:rPr>
        <w:t>招 标 人：</w:t>
      </w:r>
      <w:r>
        <w:rPr>
          <w:rFonts w:hint="eastAsia" w:ascii="宋体-方正超大字符集" w:hAnsi="STKaiti" w:eastAsia="宋体-方正超大字符集"/>
          <w:sz w:val="32"/>
          <w:szCs w:val="32"/>
          <w:u w:val="single"/>
        </w:rPr>
        <w:t xml:space="preserve">景德镇市国信城市运营发展有限公司 </w:t>
      </w:r>
      <w:r>
        <w:rPr>
          <w:sz w:val="24"/>
          <w:u w:val="single"/>
        </w:rPr>
        <w:t xml:space="preserve">  </w:t>
      </w:r>
      <w:r>
        <w:rPr>
          <w:rFonts w:hint="eastAsia" w:ascii="STKaiti" w:hAnsi="STKaiti" w:eastAsia="STKaiti"/>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项目联系人：</w:t>
      </w:r>
      <w:r>
        <w:rPr>
          <w:rFonts w:hint="eastAsia" w:ascii="宋体-方正超大字符集" w:hAnsi="STKaiti" w:eastAsia="宋体-方正超大字符集"/>
          <w:sz w:val="32"/>
          <w:szCs w:val="32"/>
          <w:u w:val="single"/>
        </w:rPr>
        <w:t xml:space="preserve">         胡  先  生                 </w:t>
      </w:r>
      <w:r>
        <w:rPr>
          <w:rFonts w:hint="eastAsia" w:ascii="宋体-方正超大字符集" w:hAnsi="STKaiti"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联系电话：</w:t>
      </w:r>
      <w:r>
        <w:rPr>
          <w:rFonts w:hint="eastAsia" w:ascii="宋体-方正超大字符集" w:hAnsi="STKaiti" w:eastAsia="宋体-方正超大字符集"/>
          <w:sz w:val="32"/>
          <w:szCs w:val="32"/>
          <w:u w:val="single"/>
        </w:rPr>
        <w:t xml:space="preserve">        18507986697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景德镇市国信城市运营发展有限公司</w:t>
      </w:r>
    </w:p>
    <w:p>
      <w:pPr>
        <w:pStyle w:val="20"/>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202</w:t>
      </w:r>
      <w:r>
        <w:rPr>
          <w:rFonts w:hint="eastAsia" w:ascii="宋体-方正超大字符集" w:hAnsi="STKaiti" w:eastAsia="宋体-方正超大字符集"/>
          <w:sz w:val="32"/>
          <w:szCs w:val="32"/>
          <w:lang w:val="en-US" w:eastAsia="zh-CN"/>
        </w:rPr>
        <w:t>2</w:t>
      </w:r>
      <w:r>
        <w:rPr>
          <w:rFonts w:hint="eastAsia" w:ascii="宋体-方正超大字符集" w:hAnsi="STKaiti" w:eastAsia="宋体-方正超大字符集"/>
          <w:sz w:val="32"/>
          <w:szCs w:val="32"/>
        </w:rPr>
        <w:t>年</w:t>
      </w:r>
      <w:r>
        <w:rPr>
          <w:rFonts w:hint="eastAsia" w:ascii="宋体-方正超大字符集" w:hAnsi="STKaiti" w:eastAsia="宋体-方正超大字符集"/>
          <w:sz w:val="32"/>
          <w:szCs w:val="32"/>
          <w:lang w:val="en-US" w:eastAsia="zh-CN"/>
        </w:rPr>
        <w:t>2</w:t>
      </w:r>
      <w:r>
        <w:rPr>
          <w:rFonts w:hint="eastAsia" w:ascii="宋体-方正超大字符集" w:hAnsi="STKaiti" w:eastAsia="宋体-方正超大字符集"/>
          <w:sz w:val="32"/>
          <w:szCs w:val="32"/>
        </w:rPr>
        <w:t>月</w:t>
      </w:r>
    </w:p>
    <w:p>
      <w:pPr>
        <w:pStyle w:val="20"/>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rPr>
        <w:t xml:space="preserve">景德镇市国信城市运营发展有限公司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rPr>
        <w:t>景德镇市国际陶瓷文化博览旅游交流中心建设项目（一标段</w:t>
      </w:r>
      <w:r>
        <w:rPr>
          <w:rFonts w:hint="eastAsia" w:ascii="宋体" w:hAnsi="宋体" w:cs="宋体"/>
          <w:b/>
          <w:bCs/>
          <w:sz w:val="24"/>
          <w:szCs w:val="24"/>
          <w:u w:val="single"/>
        </w:rPr>
        <w:t>）洪蛇Ⅰ、Ⅱ线山体土方工程</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景德镇市国际陶瓷文化博览旅游交流中心建设项目（一标段）</w:t>
      </w:r>
      <w:r>
        <w:rPr>
          <w:rFonts w:hint="eastAsia" w:ascii="宋体" w:hAnsi="宋体" w:cs="宋体"/>
          <w:b/>
          <w:bCs/>
          <w:sz w:val="24"/>
          <w:szCs w:val="24"/>
          <w:u w:val="single"/>
        </w:rPr>
        <w:t>洪蛇Ⅰ、Ⅱ线山体土方工程</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firstLine="480" w:firstLineChars="200"/>
        <w:jc w:val="left"/>
        <w:rPr>
          <w:rFonts w:ascii="宋体" w:hAnsi="宋体"/>
          <w:sz w:val="24"/>
          <w:szCs w:val="24"/>
        </w:rPr>
      </w:pPr>
      <w:r>
        <w:rPr>
          <w:rFonts w:hint="eastAsia" w:ascii="宋体" w:hAnsi="宋体"/>
          <w:sz w:val="24"/>
          <w:szCs w:val="24"/>
        </w:rPr>
        <w:t>项目实施地点：</w:t>
      </w:r>
      <w:r>
        <w:rPr>
          <w:rFonts w:hint="eastAsia" w:ascii="宋体" w:hAnsi="宋体"/>
          <w:sz w:val="24"/>
          <w:szCs w:val="24"/>
          <w:u w:val="single"/>
        </w:rPr>
        <w:t>景德镇市西北片区，景西收费站以东，洪源一路以南，北汽大道以西，迎宾大道以北</w:t>
      </w:r>
      <w:r>
        <w:rPr>
          <w:rFonts w:hint="eastAsia" w:ascii="宋体" w:hAnsi="宋体"/>
          <w:sz w:val="24"/>
          <w:szCs w:val="24"/>
        </w:rPr>
        <w:t>；</w:t>
      </w:r>
    </w:p>
    <w:p>
      <w:pPr>
        <w:spacing w:line="400" w:lineRule="exact"/>
        <w:ind w:left="1199" w:leftChars="228" w:hanging="720" w:hangingChars="300"/>
        <w:jc w:val="left"/>
        <w:rPr>
          <w:rFonts w:hint="eastAsia" w:ascii="宋体" w:hAnsi="宋体" w:eastAsia="宋体" w:cs="宋体"/>
          <w:sz w:val="24"/>
          <w:szCs w:val="24"/>
          <w:u w:val="single"/>
          <w:lang w:eastAsia="zh-CN"/>
        </w:rPr>
      </w:pPr>
      <w:r>
        <w:rPr>
          <w:rFonts w:hint="eastAsia" w:ascii="宋体" w:hAnsi="宋体"/>
          <w:sz w:val="24"/>
          <w:szCs w:val="24"/>
        </w:rPr>
        <w:t>内 容：</w:t>
      </w:r>
      <w:r>
        <w:rPr>
          <w:rFonts w:hint="eastAsia" w:ascii="宋体" w:hAnsi="宋体"/>
          <w:b/>
          <w:bCs/>
          <w:sz w:val="24"/>
          <w:szCs w:val="24"/>
          <w:u w:val="single"/>
          <w:lang w:eastAsia="zh-CN"/>
        </w:rPr>
        <w:t>暂估</w:t>
      </w:r>
      <w:r>
        <w:rPr>
          <w:rFonts w:ascii="宋体" w:hAnsi="宋体"/>
          <w:b/>
          <w:sz w:val="24"/>
          <w:szCs w:val="24"/>
          <w:u w:val="single"/>
        </w:rPr>
        <w:t>4</w:t>
      </w:r>
      <w:r>
        <w:rPr>
          <w:rFonts w:hint="eastAsia" w:ascii="宋体" w:hAnsi="宋体"/>
          <w:b/>
          <w:sz w:val="24"/>
          <w:szCs w:val="24"/>
          <w:u w:val="single"/>
        </w:rPr>
        <w:t>0</w:t>
      </w:r>
      <w:r>
        <w:rPr>
          <w:rFonts w:ascii="宋体" w:hAnsi="宋体"/>
          <w:b/>
          <w:sz w:val="24"/>
          <w:szCs w:val="24"/>
          <w:u w:val="single"/>
        </w:rPr>
        <w:t>000</w:t>
      </w:r>
      <w:r>
        <w:rPr>
          <w:rFonts w:hint="eastAsia" w:ascii="宋体" w:hAnsi="宋体"/>
          <w:b/>
          <w:sz w:val="24"/>
          <w:szCs w:val="24"/>
          <w:u w:val="single"/>
        </w:rPr>
        <w:t>m³土方</w:t>
      </w:r>
      <w:r>
        <w:rPr>
          <w:rFonts w:hint="eastAsia" w:ascii="宋体" w:hAnsi="宋体"/>
          <w:b/>
          <w:sz w:val="24"/>
          <w:szCs w:val="24"/>
          <w:u w:val="single"/>
          <w:lang w:eastAsia="zh-CN"/>
        </w:rPr>
        <w:t>开外外运，运距</w:t>
      </w:r>
      <w:r>
        <w:rPr>
          <w:rFonts w:hint="eastAsia" w:ascii="宋体" w:hAnsi="宋体"/>
          <w:b/>
          <w:sz w:val="24"/>
          <w:szCs w:val="24"/>
          <w:u w:val="single"/>
          <w:lang w:val="en-US" w:eastAsia="zh-CN"/>
        </w:rPr>
        <w:t>2km内。</w:t>
      </w:r>
      <w:r>
        <w:rPr>
          <w:rFonts w:hint="eastAsia" w:ascii="宋体" w:hAnsi="宋体"/>
          <w:b/>
          <w:sz w:val="24"/>
          <w:szCs w:val="24"/>
          <w:u w:val="single"/>
          <w:lang w:eastAsia="zh-CN"/>
        </w:rPr>
        <w:t>（红线范围外）</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10</w:t>
      </w:r>
      <w:r>
        <w:rPr>
          <w:rFonts w:hint="eastAsia" w:ascii="宋体" w:hAnsi="宋体"/>
          <w:sz w:val="24"/>
          <w:szCs w:val="24"/>
          <w:u w:val="single"/>
        </w:rPr>
        <w:t>天</w:t>
      </w:r>
      <w:r>
        <w:rPr>
          <w:rFonts w:ascii="宋体" w:hAnsi="宋体"/>
          <w:sz w:val="24"/>
          <w:szCs w:val="24"/>
          <w:u w:val="single"/>
        </w:rPr>
        <w:t xml:space="preserve"> </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ascii="宋体" w:hAnsi="宋体"/>
          <w:sz w:val="24"/>
          <w:szCs w:val="24"/>
          <w:u w:val="single"/>
        </w:rPr>
        <w:t xml:space="preserve"> </w:t>
      </w:r>
      <w:r>
        <w:rPr>
          <w:rFonts w:hint="eastAsia" w:ascii="宋体" w:hAnsi="宋体"/>
          <w:sz w:val="24"/>
          <w:szCs w:val="24"/>
          <w:u w:val="single"/>
        </w:rPr>
        <w:t>431200元（10.7</w:t>
      </w:r>
      <w:r>
        <w:rPr>
          <w:rFonts w:hint="eastAsia" w:ascii="宋体" w:hAnsi="宋体"/>
          <w:sz w:val="24"/>
          <w:szCs w:val="24"/>
          <w:u w:val="single"/>
          <w:lang w:val="en-US" w:eastAsia="zh-CN"/>
        </w:rPr>
        <w:t>8</w:t>
      </w:r>
      <w:r>
        <w:rPr>
          <w:rFonts w:hint="eastAsia" w:ascii="宋体" w:hAnsi="宋体"/>
          <w:sz w:val="24"/>
          <w:szCs w:val="24"/>
          <w:u w:val="single"/>
        </w:rPr>
        <w:t>元/m³）；</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hint="eastAsia" w:ascii="宋体" w:hAnsi="宋体" w:eastAsia="宋体"/>
          <w:b/>
          <w:sz w:val="24"/>
          <w:szCs w:val="24"/>
          <w:u w:val="single"/>
          <w:lang w:eastAsia="zh-CN"/>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bookmarkStart w:id="8" w:name="_GoBack"/>
      <w:bookmarkEnd w:id="8"/>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四、谈判时需携带的证件及材料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rPr>
      </w:pPr>
      <w:r>
        <w:rPr>
          <w:rFonts w:hint="eastAsia" w:ascii="宋体" w:hAnsi="宋体"/>
          <w:sz w:val="24"/>
          <w:szCs w:val="24"/>
        </w:rPr>
        <w:t>（一）报名时间：202</w:t>
      </w:r>
      <w:r>
        <w:rPr>
          <w:rFonts w:hint="eastAsia" w:ascii="宋体" w:hAnsi="宋体"/>
          <w:sz w:val="24"/>
          <w:szCs w:val="24"/>
          <w:lang w:val="en-US" w:eastAsia="zh-CN"/>
        </w:rPr>
        <w:t>2</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3</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2</w:t>
      </w:r>
      <w:r>
        <w:rPr>
          <w:rFonts w:hint="eastAsia" w:ascii="宋体" w:hAnsi="宋体"/>
          <w:sz w:val="24"/>
          <w:szCs w:val="24"/>
        </w:rPr>
        <w:t>日—202</w:t>
      </w:r>
      <w:r>
        <w:rPr>
          <w:rFonts w:hint="eastAsia" w:ascii="宋体" w:hAnsi="宋体"/>
          <w:sz w:val="24"/>
          <w:szCs w:val="24"/>
          <w:lang w:val="en-US" w:eastAsia="zh-CN"/>
        </w:rPr>
        <w:t>2</w:t>
      </w:r>
      <w:r>
        <w:rPr>
          <w:rFonts w:hint="eastAsia" w:ascii="宋体" w:hAnsi="宋体"/>
          <w:sz w:val="24"/>
          <w:szCs w:val="24"/>
        </w:rPr>
        <w:t>年</w:t>
      </w:r>
      <w:r>
        <w:rPr>
          <w:rFonts w:hint="eastAsia" w:ascii="宋体" w:hAnsi="宋体"/>
          <w:sz w:val="24"/>
          <w:szCs w:val="24"/>
          <w:u w:val="single"/>
          <w:lang w:val="en-US" w:eastAsia="zh-CN"/>
        </w:rPr>
        <w:t>3</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6</w:t>
      </w:r>
      <w:r>
        <w:rPr>
          <w:rFonts w:hint="eastAsia" w:ascii="宋体" w:hAnsi="宋体"/>
          <w:sz w:val="24"/>
          <w:szCs w:val="24"/>
        </w:rPr>
        <w:t>日，8：00—11：00， 14：00—17：00。开标时间：202</w:t>
      </w:r>
      <w:r>
        <w:rPr>
          <w:rFonts w:hint="eastAsia" w:ascii="宋体" w:hAnsi="宋体"/>
          <w:sz w:val="24"/>
          <w:szCs w:val="24"/>
          <w:lang w:val="en-US" w:eastAsia="zh-CN"/>
        </w:rPr>
        <w:t>2</w:t>
      </w:r>
      <w:r>
        <w:rPr>
          <w:rFonts w:hint="eastAsia" w:ascii="宋体" w:hAnsi="宋体"/>
          <w:sz w:val="24"/>
          <w:szCs w:val="24"/>
        </w:rPr>
        <w:t>年</w:t>
      </w:r>
      <w:r>
        <w:rPr>
          <w:rFonts w:hint="eastAsia" w:ascii="宋体" w:hAnsi="宋体"/>
          <w:sz w:val="24"/>
          <w:szCs w:val="24"/>
          <w:lang w:val="en-US" w:eastAsia="zh-CN"/>
        </w:rPr>
        <w:t>3</w:t>
      </w:r>
      <w:r>
        <w:rPr>
          <w:rFonts w:hint="eastAsia" w:ascii="宋体" w:hAnsi="宋体"/>
          <w:sz w:val="24"/>
          <w:szCs w:val="24"/>
        </w:rPr>
        <w:t>月</w:t>
      </w:r>
      <w:r>
        <w:rPr>
          <w:rFonts w:hint="eastAsia" w:ascii="宋体" w:hAnsi="宋体"/>
          <w:sz w:val="24"/>
          <w:szCs w:val="24"/>
          <w:lang w:val="en-US" w:eastAsia="zh-CN"/>
        </w:rPr>
        <w:t>10</w:t>
      </w:r>
      <w:r>
        <w:rPr>
          <w:rFonts w:hint="eastAsia" w:ascii="宋体" w:hAnsi="宋体"/>
          <w:sz w:val="24"/>
          <w:szCs w:val="24"/>
        </w:rPr>
        <w:t>日上午11：00。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w:t>
      </w:r>
      <w:r>
        <w:rPr>
          <w:rFonts w:hint="eastAsia" w:ascii="宋体" w:hAnsi="宋体"/>
          <w:sz w:val="24"/>
          <w:szCs w:val="24"/>
          <w:u w:val="single"/>
          <w:lang w:eastAsia="zh-CN"/>
        </w:rPr>
        <w:t>城</w:t>
      </w:r>
      <w:r>
        <w:rPr>
          <w:rFonts w:hint="eastAsia" w:ascii="宋体" w:hAnsi="宋体"/>
          <w:sz w:val="24"/>
          <w:szCs w:val="24"/>
          <w:u w:val="single"/>
        </w:rPr>
        <w:t>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（三）谈判文件获取方式：携法定代表人的授权委托书及营业执照复印件前往报名地点领取。</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0798-2189506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景德镇市国信城市运营发展有限公司                                                              202</w:t>
      </w:r>
      <w:r>
        <w:rPr>
          <w:rFonts w:hint="eastAsia" w:ascii="宋体" w:hAnsi="宋体"/>
          <w:sz w:val="24"/>
          <w:szCs w:val="24"/>
          <w:lang w:val="en-US" w:eastAsia="zh-CN"/>
        </w:rPr>
        <w:t>2</w:t>
      </w:r>
      <w:r>
        <w:rPr>
          <w:rFonts w:hint="eastAsia" w:ascii="宋体" w:hAnsi="宋体"/>
          <w:sz w:val="24"/>
          <w:szCs w:val="24"/>
        </w:rPr>
        <w:t>年</w:t>
      </w:r>
      <w:r>
        <w:rPr>
          <w:rFonts w:hint="eastAsia" w:ascii="宋体" w:hAnsi="宋体"/>
          <w:sz w:val="24"/>
          <w:szCs w:val="24"/>
          <w:lang w:val="en-US" w:eastAsia="zh-CN"/>
        </w:rPr>
        <w:t>3</w:t>
      </w:r>
      <w:r>
        <w:rPr>
          <w:rFonts w:hint="eastAsia" w:ascii="宋体" w:hAnsi="宋体"/>
          <w:sz w:val="24"/>
          <w:szCs w:val="24"/>
        </w:rPr>
        <w:t>月</w:t>
      </w:r>
      <w:r>
        <w:rPr>
          <w:rFonts w:hint="eastAsia" w:ascii="宋体" w:hAnsi="宋体"/>
          <w:sz w:val="24"/>
          <w:szCs w:val="24"/>
          <w:lang w:val="en-US" w:eastAsia="zh-CN"/>
        </w:rPr>
        <w:t>2</w:t>
      </w:r>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景德镇市国际陶瓷文化博览旅游交流中心建设项目（一标段）</w:t>
            </w:r>
            <w:r>
              <w:rPr>
                <w:rFonts w:hint="eastAsia" w:ascii="宋体" w:hAnsi="宋体" w:cs="宋体"/>
                <w:b/>
                <w:bCs/>
                <w:sz w:val="24"/>
                <w:szCs w:val="24"/>
                <w:u w:val="single"/>
              </w:rPr>
              <w:t>洪蛇Ⅰ、Ⅱ线山体土方工程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rPr>
              <w:t>景德镇市国信城市运营发展有限公司</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10</w:t>
            </w:r>
            <w:r>
              <w:rPr>
                <w:rFonts w:ascii="宋体" w:hAnsi="宋体"/>
                <w:b/>
                <w:sz w:val="24"/>
                <w:szCs w:val="24"/>
                <w:u w:val="single"/>
              </w:rPr>
              <w:t xml:space="preserve"> </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投标人须在规定的时间、地点准时参加谈判，并提供以下资料原件或加盖公章复印件：竞标文件、法人代表身份证或被授权人身份证、法定代表人授权委托书、企业法人营业执照、企业资质证书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肆拾叁万壹仟贰佰</w:t>
            </w:r>
            <w:r>
              <w:rPr>
                <w:rFonts w:hint="eastAsia" w:ascii="宋体" w:hAnsi="宋体"/>
                <w:sz w:val="24"/>
                <w:szCs w:val="24"/>
              </w:rPr>
              <w:t>元整（¥</w:t>
            </w:r>
            <w:r>
              <w:rPr>
                <w:rFonts w:hint="eastAsia" w:ascii="宋体" w:hAnsi="宋体"/>
                <w:sz w:val="24"/>
                <w:szCs w:val="24"/>
                <w:u w:val="single"/>
              </w:rPr>
              <w:t>431200</w:t>
            </w:r>
            <w:r>
              <w:rPr>
                <w:rFonts w:hint="eastAsia" w:ascii="宋体" w:hAnsi="宋体"/>
                <w:sz w:val="24"/>
                <w:szCs w:val="24"/>
              </w:rPr>
              <w:t>元），任何超过最高限价</w:t>
            </w:r>
            <w:r>
              <w:rPr>
                <w:rFonts w:hint="eastAsia" w:ascii="宋体" w:hAnsi="宋体"/>
                <w:sz w:val="24"/>
                <w:szCs w:val="24"/>
                <w:lang w:eastAsia="zh-CN"/>
              </w:rPr>
              <w:t>（控制价</w:t>
            </w:r>
            <w:r>
              <w:rPr>
                <w:rFonts w:hint="eastAsia" w:ascii="宋体" w:hAnsi="宋体"/>
                <w:sz w:val="24"/>
                <w:szCs w:val="24"/>
                <w:lang w:val="en-US" w:eastAsia="zh-CN"/>
              </w:rPr>
              <w:t>*0.92</w:t>
            </w:r>
            <w:r>
              <w:rPr>
                <w:rFonts w:hint="eastAsia" w:ascii="宋体" w:hAnsi="宋体"/>
                <w:sz w:val="24"/>
                <w:szCs w:val="24"/>
                <w:lang w:eastAsia="zh-CN"/>
              </w:rPr>
              <w:t>）</w:t>
            </w:r>
            <w:r>
              <w:rPr>
                <w:rFonts w:hint="eastAsia" w:ascii="宋体" w:hAnsi="宋体"/>
                <w:sz w:val="24"/>
                <w:szCs w:val="24"/>
              </w:rPr>
              <w:t>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int="eastAsia" w:eastAsia="宋体"/>
                <w:lang w:eastAsia="zh-CN"/>
              </w:rPr>
            </w:pPr>
            <w:r>
              <w:rPr>
                <w:rFonts w:hint="eastAsia" w:ascii="宋体" w:hAnsi="宋体"/>
                <w:sz w:val="24"/>
                <w:szCs w:val="24"/>
              </w:rPr>
              <w:t>控制价编制依据：2017版《江西省建设工程定额》</w:t>
            </w:r>
            <w:r>
              <w:rPr>
                <w:rFonts w:hint="eastAsia" w:ascii="宋体" w:hAnsi="宋体"/>
                <w:sz w:val="24"/>
                <w:szCs w:val="24"/>
                <w:lang w:eastAsia="zh-CN"/>
              </w:rPr>
              <w:t>及本项目类似工程作为依据。</w:t>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rPr>
        <w:t xml:space="preserve">景德镇市国信城市运营发展有限公司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景德镇市国际陶瓷文化博览旅游交流中心建设项目（一标段）</w:t>
      </w:r>
      <w:r>
        <w:rPr>
          <w:rFonts w:hint="eastAsia" w:ascii="宋体" w:hAnsi="宋体" w:cs="宋体"/>
          <w:b/>
          <w:bCs/>
          <w:sz w:val="24"/>
          <w:szCs w:val="24"/>
          <w:u w:val="single"/>
        </w:rPr>
        <w:t>洪蛇Ⅰ、Ⅱ线山体土方工程</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景德镇市国际陶瓷文化博览旅游交流中心建设项目（一标段）</w:t>
      </w:r>
      <w:r>
        <w:rPr>
          <w:rFonts w:hint="eastAsia" w:ascii="宋体" w:hAnsi="宋体" w:cs="宋体"/>
          <w:b/>
          <w:bCs/>
          <w:sz w:val="24"/>
          <w:szCs w:val="24"/>
          <w:u w:val="single"/>
        </w:rPr>
        <w:t>洪蛇Ⅰ、Ⅱ线山体土方工程</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景德镇市国际陶瓷文化博览旅游交流中心建设项目（一标段）</w:t>
      </w:r>
      <w:r>
        <w:rPr>
          <w:rFonts w:hint="eastAsia" w:ascii="宋体" w:hAnsi="宋体" w:cs="宋体"/>
          <w:b/>
          <w:bCs/>
          <w:sz w:val="24"/>
          <w:szCs w:val="24"/>
          <w:u w:val="single"/>
        </w:rPr>
        <w:t>洪蛇Ⅰ、Ⅱ线山体土方工程</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投标</w:t>
      </w:r>
      <w:r>
        <w:rPr>
          <w:rFonts w:hint="eastAsia" w:ascii="宋体" w:hAnsi="宋体" w:eastAsia="宋体"/>
          <w:sz w:val="24"/>
          <w:szCs w:val="24"/>
        </w:rPr>
        <w:t>及由本次</w:t>
      </w:r>
      <w:r>
        <w:rPr>
          <w:rFonts w:hint="eastAsia" w:ascii="宋体" w:hAnsi="宋体" w:eastAsia="宋体"/>
          <w:sz w:val="24"/>
          <w:szCs w:val="24"/>
          <w:lang w:eastAsia="zh-CN"/>
        </w:rPr>
        <w:t>投标</w:t>
      </w:r>
      <w:r>
        <w:rPr>
          <w:rFonts w:hint="eastAsia" w:ascii="宋体" w:hAnsi="宋体" w:eastAsia="宋体"/>
          <w:sz w:val="24"/>
          <w:szCs w:val="24"/>
        </w:rPr>
        <w:t>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投标</w:t>
      </w:r>
      <w:r>
        <w:rPr>
          <w:rFonts w:hint="eastAsia" w:ascii="宋体" w:hAnsi="宋体"/>
          <w:sz w:val="24"/>
          <w:szCs w:val="24"/>
        </w:rPr>
        <w:t>有关的费用。</w:t>
      </w:r>
    </w:p>
    <w:p>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投标</w:t>
      </w:r>
      <w:r>
        <w:rPr>
          <w:rFonts w:hint="eastAsia" w:ascii="宋体" w:hAnsi="宋体"/>
          <w:b/>
          <w:sz w:val="24"/>
          <w:szCs w:val="24"/>
        </w:rPr>
        <w:t>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竞标投标人参与本谈判文件并参加本项目竞标，即被认为接受了本谈判文件中的所有条件和规定。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谈判文件”的所有内容，按“谈判文件”的要求编制“竞标文件”，并保证所提供的全部资料的真实性、完整性及有效性，以使其投标对“谈判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3、谈判投标人认为有必要提供的其它材料。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竞标投标人应按照上述竞标文件构成顺序编制《谈判文件》，并按谈判文件中提供的格式填写竞标函、授权委托书、谈判报价一览表等材料。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谈判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1、所有竞标文件都必须在谈判文件规定的递交截止时间前送达开标地点。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2、代理单位将组织在谈判文件规定的时间和地点举行谈判会议，投标人必须派法定代表人或其授权的委托人出席会议。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3、招标人可以通过修改谈判文件酌情延长竞标截止日期，在此情况下，竞标人的所有权利和义务以及竞标人受制约的截止日期均应以延长后新的截止日期为准。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1、竞标人资格不符合谈判文件规定或未按谈判文件投标人须知前附表第8条内容规定提交资质证件原件的（缺项、漏项均做无效标处理）；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2、标书密封不符合谈判文件要求的；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3、标书出现重大偏差，未对谈判文件进行实质性响应；</w:t>
      </w:r>
    </w:p>
    <w:p>
      <w:pPr>
        <w:spacing w:line="400" w:lineRule="exact"/>
        <w:ind w:firstLine="600"/>
        <w:jc w:val="left"/>
        <w:rPr>
          <w:rFonts w:ascii="宋体" w:hAnsi="宋体"/>
          <w:sz w:val="24"/>
          <w:szCs w:val="24"/>
        </w:rPr>
      </w:pPr>
      <w:r>
        <w:rPr>
          <w:rFonts w:hint="eastAsia" w:ascii="宋体" w:hAnsi="宋体"/>
          <w:sz w:val="24"/>
          <w:szCs w:val="24"/>
        </w:rPr>
        <w:t>4、其它谈判小组认为有必要取消的竞标；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5、竞标人不参加谈判仪式及质询事宜的；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★竞标人未及时参与谈判或多次报价的，视为自动放弃竞标资格。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3"/>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五、谈判程序及最终报价</w:t>
      </w:r>
      <w:bookmarkEnd w:id="3"/>
    </w:p>
    <w:p>
      <w:pPr>
        <w:spacing w:line="400" w:lineRule="exact"/>
        <w:rPr>
          <w:rFonts w:ascii="宋体" w:hAnsi="宋体"/>
          <w:b/>
          <w:sz w:val="24"/>
          <w:szCs w:val="24"/>
        </w:rPr>
      </w:pPr>
      <w:r>
        <w:rPr>
          <w:rFonts w:hint="eastAsia" w:ascii="宋体" w:hAnsi="宋体"/>
          <w:b/>
          <w:sz w:val="24"/>
          <w:szCs w:val="24"/>
        </w:rPr>
        <w:t>（二十）谈判仪式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、招标人按谈判文件规定的时间、地点组织竞标。招标人代表及有关工作人员参加。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、竞标人应委派授权代表参加谈判活动，</w:t>
      </w:r>
      <w:r>
        <w:rPr>
          <w:rFonts w:hint="eastAsia" w:ascii="宋体" w:hAnsi="宋体"/>
          <w:b/>
          <w:sz w:val="24"/>
          <w:szCs w:val="24"/>
          <w:u w:val="single"/>
        </w:rPr>
        <w:t>参加谈判的代表须持本人身份证件签名报到以证明其出席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3、谈判由</w:t>
      </w:r>
      <w:r>
        <w:rPr>
          <w:rFonts w:hint="eastAsia" w:ascii="宋体" w:hAnsi="宋体"/>
          <w:sz w:val="24"/>
          <w:szCs w:val="24"/>
          <w:u w:val="single"/>
        </w:rPr>
        <w:t xml:space="preserve"> </w:t>
      </w:r>
      <w:r>
        <w:rPr>
          <w:rFonts w:hint="eastAsia" w:ascii="宋体" w:hAnsi="宋体"/>
          <w:b/>
          <w:sz w:val="24"/>
          <w:szCs w:val="24"/>
          <w:u w:val="single"/>
        </w:rPr>
        <w:t>景德镇市国信城市运营发展有限公司</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4、谈判时，由招标人、监管部门代表及竞标人代表检查投标文件的密封情况、参与竞标的项目经理是否按时到达开标会议现场、市场准入证件等。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（二十一）谈判小组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谈判小组，其成员由三人以上单数组成。谈判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（二十二）谈判原则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“公开、公平、公正、择优、效益”为本次评标的基本原则，谈判小组将按照这一原则的要求，公正、平等地对待各竞标人。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（二十三）谈判程序</w:t>
      </w:r>
    </w:p>
    <w:p>
      <w:pPr>
        <w:spacing w:line="400" w:lineRule="exact"/>
        <w:ind w:firstLine="480" w:firstLineChars="200"/>
        <w:rPr>
          <w:rFonts w:ascii="宋体" w:hAnsi="宋体"/>
          <w:b/>
          <w:sz w:val="24"/>
          <w:szCs w:val="24"/>
        </w:rPr>
      </w:pPr>
      <w:r>
        <w:rPr>
          <w:rFonts w:hint="eastAsia" w:ascii="宋体" w:hAnsi="宋体"/>
          <w:sz w:val="24"/>
          <w:szCs w:val="24"/>
        </w:rPr>
        <w:t>1、谈判小组首先对各竞标文件进行资格性审查和符合性审查，未通过审查的为无效标。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⑴资格性检查：谈判小组将根据法律法规和谈判文件的规定，对竞标文件的资格证明文件等进行审查，以确定投标人是否具备委托招标资格。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⑵符合性检查：依据谈判文件的规定，从竞标文件的有效性、完整性和对谈判文件的响应程度进行审查，以确定是否对谈判文件的要求作出了实质性的响应，对存在重大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的竞标文件将被拒绝。所谓重大偏离是指竞标人竞标文件中所述质量、规格、数量、交货期等明显不能满足谈判文件要求。重大偏离的认定须经委托招标小组三分之二以上同意。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2、谈判小组判断“竞标文件”的响应性，仅基于“竞标文件”本身而不靠外部证据。谈判小组将拒绝被确定为非实质性响应的投标人。投标人不能通过修正或撤销不符之处，而使其成为实质性响应。</w:t>
      </w:r>
    </w:p>
    <w:p>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3、谈判小组根据谈判文件要求，讨论、通过谈判工作流程和谈判要点。</w:t>
      </w:r>
    </w:p>
    <w:p>
      <w:pPr>
        <w:pStyle w:val="20"/>
        <w:spacing w:line="400" w:lineRule="exact"/>
        <w:ind w:firstLine="480" w:firstLineChars="200"/>
        <w:rPr>
          <w:rFonts w:hAnsi="宋体"/>
          <w:color w:val="000000"/>
          <w:sz w:val="24"/>
          <w:szCs w:val="24"/>
        </w:rPr>
      </w:pPr>
      <w:r>
        <w:rPr>
          <w:rFonts w:hint="eastAsia" w:hAnsi="宋体"/>
          <w:sz w:val="24"/>
          <w:szCs w:val="24"/>
        </w:rPr>
        <w:t>4、谈判单位按照签到顺序通知有效竞标人谈判</w:t>
      </w:r>
      <w:r>
        <w:rPr>
          <w:rFonts w:hint="eastAsia" w:hAnsi="宋体"/>
          <w:color w:val="000000"/>
          <w:sz w:val="24"/>
          <w:szCs w:val="24"/>
        </w:rPr>
        <w:t>。</w:t>
      </w:r>
    </w:p>
    <w:p>
      <w:pPr>
        <w:pStyle w:val="20"/>
        <w:spacing w:line="400" w:lineRule="exact"/>
        <w:ind w:firstLine="480" w:firstLineChars="200"/>
        <w:rPr>
          <w:rFonts w:hAnsi="宋体"/>
          <w:color w:val="000000"/>
          <w:sz w:val="24"/>
          <w:szCs w:val="24"/>
        </w:rPr>
      </w:pPr>
      <w:r>
        <w:rPr>
          <w:rFonts w:hint="eastAsia" w:hAnsi="宋体"/>
          <w:color w:val="000000"/>
          <w:sz w:val="24"/>
          <w:szCs w:val="24"/>
        </w:rPr>
        <w:t>5、围绕谈判要点，谈判评标小组全体成员集中与各个有效竞标人分别进行谈判。逐家谈判一次为一个轮次，谈判轮次原则上为一轮，具体由谈判小组视情况决定。</w:t>
      </w:r>
    </w:p>
    <w:p>
      <w:pPr>
        <w:pStyle w:val="20"/>
        <w:spacing w:line="400" w:lineRule="exact"/>
        <w:ind w:firstLine="480" w:firstLineChars="200"/>
        <w:rPr>
          <w:rFonts w:hAnsi="宋体"/>
          <w:color w:val="000000"/>
          <w:sz w:val="24"/>
          <w:szCs w:val="24"/>
        </w:rPr>
      </w:pPr>
      <w:r>
        <w:rPr>
          <w:rFonts w:hint="eastAsia" w:hAnsi="宋体"/>
          <w:color w:val="000000"/>
          <w:sz w:val="24"/>
          <w:szCs w:val="24"/>
        </w:rPr>
        <w:t>6、谈判文件有较大变动的，谈判小组将以书面形式通知所有参加谈判的竞标人。</w:t>
      </w:r>
    </w:p>
    <w:p>
      <w:pPr>
        <w:pStyle w:val="20"/>
        <w:spacing w:line="400" w:lineRule="exact"/>
        <w:rPr>
          <w:rFonts w:hAnsi="宋体"/>
          <w:b/>
          <w:sz w:val="24"/>
          <w:szCs w:val="24"/>
        </w:rPr>
      </w:pPr>
      <w:r>
        <w:rPr>
          <w:rFonts w:hint="eastAsia" w:hAnsi="宋体"/>
          <w:b/>
          <w:sz w:val="24"/>
          <w:szCs w:val="24"/>
        </w:rPr>
        <w:t>（二十四）最终报价</w:t>
      </w:r>
    </w:p>
    <w:p>
      <w:pPr>
        <w:pStyle w:val="20"/>
        <w:spacing w:line="400" w:lineRule="exact"/>
        <w:ind w:firstLine="600" w:firstLineChars="250"/>
        <w:rPr>
          <w:rFonts w:hAnsi="宋体"/>
          <w:sz w:val="24"/>
          <w:szCs w:val="24"/>
        </w:rPr>
      </w:pPr>
      <w:r>
        <w:rPr>
          <w:rFonts w:hint="eastAsia" w:hAnsi="宋体"/>
          <w:sz w:val="24"/>
          <w:szCs w:val="24"/>
        </w:rPr>
        <w:t>谈判结束后，谈判小组将要求所有有效标竞标人在规定时间内确定最终报价及服务承诺。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1、谈判小组将按谈判文件中规定的评标方法和标准，</w:t>
      </w:r>
      <w:r>
        <w:rPr>
          <w:rFonts w:ascii="宋体" w:hAnsi="宋体"/>
          <w:color w:val="000000"/>
          <w:sz w:val="24"/>
          <w:szCs w:val="24"/>
        </w:rPr>
        <w:t>仅对在实质上响应</w:t>
      </w:r>
      <w:r>
        <w:rPr>
          <w:rFonts w:hint="eastAsia" w:ascii="宋体" w:hAnsi="宋体"/>
          <w:color w:val="000000"/>
          <w:sz w:val="24"/>
          <w:szCs w:val="24"/>
        </w:rPr>
        <w:t>谈判</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（二十六）谈判过程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在宣布成交结果之前，凡属于审查、澄清、评价、比较谈判文件等有关信息，相关当事人均不得泄露给任何谈判投标人或与谈判工作无关的人员。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竞标投标人不得探听上述信息，不得以任何行为影响谈</w:t>
      </w:r>
      <w:r>
        <w:rPr>
          <w:rFonts w:hint="eastAsia" w:ascii="宋体" w:hAnsi="宋体"/>
          <w:color w:val="000000"/>
          <w:sz w:val="24"/>
          <w:szCs w:val="24"/>
          <w:lang w:val="zh-CN"/>
        </w:rPr>
        <w:t>判过程，否则其竞标文件将被作为无效竞标文件。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在谈判期间，代理单位将有专门工作人员与竞标投标人进行联络。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代理单位和谈判小组不向未成交的竞标投标人解释未成交原因，也不对谈判过程中的细节问题进行公布。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本项目采用经评审的最低投标价中标法，评标委员会严格按照谈判文件规定的标准和要求，对各投标文件进行评审，按有效投标人最终投标报价确定中选人。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rPr>
        <w:t>景德镇市国信城市运营发展有限公司</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景德镇市国际陶瓷文化博览旅游交流中心建设项目（一标段）</w:t>
      </w:r>
      <w:r>
        <w:rPr>
          <w:rFonts w:hint="eastAsia" w:ascii="宋体" w:hAnsi="宋体" w:cs="宋体"/>
          <w:b/>
          <w:bCs/>
          <w:sz w:val="24"/>
          <w:szCs w:val="24"/>
          <w:u w:val="single"/>
        </w:rPr>
        <w:t>洪蛇Ⅰ、Ⅱ线山体土方工程</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二、如果我们的竞标文件被接受，我们将履行谈判文件中规定的每项要求，并按我们竞标文件中的承诺按期、按质、按量交付使用方；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四、我们同意按谈判文件的规定交履约保证金、中标服务费，遵守贵方有关谈判的各项规定；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rPr>
        <w:t>景德镇市国信城市运营发展有限公司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rPr>
        <w:t>谈判</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F02A2"/>
    <w:rsid w:val="00140515"/>
    <w:rsid w:val="00172A27"/>
    <w:rsid w:val="00182D29"/>
    <w:rsid w:val="001A5A23"/>
    <w:rsid w:val="002C6F72"/>
    <w:rsid w:val="0030688B"/>
    <w:rsid w:val="00313CF8"/>
    <w:rsid w:val="003E032D"/>
    <w:rsid w:val="003F66AA"/>
    <w:rsid w:val="00510D16"/>
    <w:rsid w:val="005E5C8A"/>
    <w:rsid w:val="005E6D71"/>
    <w:rsid w:val="00630E6A"/>
    <w:rsid w:val="006D4EEA"/>
    <w:rsid w:val="006F71B8"/>
    <w:rsid w:val="007352F4"/>
    <w:rsid w:val="0077283F"/>
    <w:rsid w:val="008B577B"/>
    <w:rsid w:val="00902BB1"/>
    <w:rsid w:val="00953254"/>
    <w:rsid w:val="009768EF"/>
    <w:rsid w:val="00A44BDC"/>
    <w:rsid w:val="00A75BCF"/>
    <w:rsid w:val="00AD79C7"/>
    <w:rsid w:val="00C13FAB"/>
    <w:rsid w:val="00C22141"/>
    <w:rsid w:val="00C51A8B"/>
    <w:rsid w:val="00CA6415"/>
    <w:rsid w:val="00D51520"/>
    <w:rsid w:val="00E35FA0"/>
    <w:rsid w:val="00EA5A40"/>
    <w:rsid w:val="010D19AF"/>
    <w:rsid w:val="081E79F8"/>
    <w:rsid w:val="085F679A"/>
    <w:rsid w:val="0914518E"/>
    <w:rsid w:val="0C2D3516"/>
    <w:rsid w:val="0D874D64"/>
    <w:rsid w:val="19FE1B00"/>
    <w:rsid w:val="1D355134"/>
    <w:rsid w:val="20FC05A9"/>
    <w:rsid w:val="2538122F"/>
    <w:rsid w:val="276B4547"/>
    <w:rsid w:val="28022A74"/>
    <w:rsid w:val="2A174676"/>
    <w:rsid w:val="2E9C05B3"/>
    <w:rsid w:val="2F7B180E"/>
    <w:rsid w:val="31422505"/>
    <w:rsid w:val="32270DB0"/>
    <w:rsid w:val="327A56DF"/>
    <w:rsid w:val="346F7832"/>
    <w:rsid w:val="3B8033A8"/>
    <w:rsid w:val="3CC3270A"/>
    <w:rsid w:val="3D905866"/>
    <w:rsid w:val="3DC72016"/>
    <w:rsid w:val="40515B46"/>
    <w:rsid w:val="41A46DE7"/>
    <w:rsid w:val="44575FB2"/>
    <w:rsid w:val="474C7B15"/>
    <w:rsid w:val="47EF0ED9"/>
    <w:rsid w:val="492E6A4C"/>
    <w:rsid w:val="4B340EC0"/>
    <w:rsid w:val="4BFF2C2B"/>
    <w:rsid w:val="4C7C4CE8"/>
    <w:rsid w:val="4CE63D97"/>
    <w:rsid w:val="51F40CBB"/>
    <w:rsid w:val="52A374AA"/>
    <w:rsid w:val="52DA0035"/>
    <w:rsid w:val="59DC694C"/>
    <w:rsid w:val="5C2D1277"/>
    <w:rsid w:val="5D2D429B"/>
    <w:rsid w:val="6049287C"/>
    <w:rsid w:val="63455575"/>
    <w:rsid w:val="66EA3071"/>
    <w:rsid w:val="6A387350"/>
    <w:rsid w:val="6F3A2D14"/>
    <w:rsid w:val="6FF87C8B"/>
    <w:rsid w:val="72203F82"/>
    <w:rsid w:val="735C2543"/>
    <w:rsid w:val="7A8D3AAE"/>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912</Words>
  <Characters>5204</Characters>
  <Lines>43</Lines>
  <Paragraphs>12</Paragraphs>
  <TotalTime>113</TotalTime>
  <ScaleCrop>false</ScaleCrop>
  <LinksUpToDate>false</LinksUpToDate>
  <CharactersWithSpaces>6104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热血白兔</cp:lastModifiedBy>
  <cp:lastPrinted>2022-02-25T07:23:00Z</cp:lastPrinted>
  <dcterms:modified xsi:type="dcterms:W3CDTF">2022-03-08T06:41:59Z</dcterms:modified>
  <dc:title>政府采购</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1317C9C72E6040BEB4ADEBCD2AF02C07</vt:lpwstr>
  </property>
</Properties>
</file>