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景德镇市国际陶瓷文化博览旅游交流中心建设项目（一标段）</w:t>
      </w:r>
      <w:r>
        <w:rPr>
          <w:rFonts w:hint="eastAsia" w:ascii="宋体-方正超大字符集" w:hAnsi="STKaiti" w:eastAsia="宋体-方正超大字符集"/>
          <w:sz w:val="32"/>
          <w:szCs w:val="32"/>
          <w:u w:val="single"/>
          <w:lang w:eastAsia="zh-CN"/>
        </w:rPr>
        <w:t>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生产建设项目水土保持方案编制方案编制单位水平评价证书</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rPr>
        <w:t>日—2021年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日，8：00—11：00， 14：00—17：00。开标时间：2021年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ascii="宋体" w:hAnsi="宋体"/>
          <w:sz w:val="24"/>
          <w:szCs w:val="24"/>
        </w:rPr>
        <w:t>1</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bookmarkStart w:id="8" w:name="_GoBack"/>
            <w:bookmarkEnd w:id="8"/>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水土保持方案编制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3241CD"/>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900</Words>
  <Characters>5136</Characters>
  <Lines>42</Lines>
  <Paragraphs>12</Paragraphs>
  <TotalTime>28</TotalTime>
  <ScaleCrop>false</ScaleCrop>
  <LinksUpToDate>false</LinksUpToDate>
  <CharactersWithSpaces>6024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2021-11-29T09:57:10Z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